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3D042" w14:textId="4A555E90" w:rsidR="00550E3A" w:rsidRDefault="00774A46" w:rsidP="00550E3A">
      <w:pPr>
        <w:jc w:val="both"/>
      </w:pPr>
      <w:r>
        <w:t>The collaborative spirit of the</w:t>
      </w:r>
      <w:r w:rsidR="006064E1">
        <w:t xml:space="preserve"> Center for Biomolecular Structure and Dynamics at </w:t>
      </w:r>
      <w:r w:rsidR="007B65AD">
        <w:t>T</w:t>
      </w:r>
      <w:r w:rsidR="006064E1">
        <w:t xml:space="preserve">he University of Montana </w:t>
      </w:r>
      <w:r w:rsidR="00E82CCD">
        <w:t xml:space="preserve">(UM) </w:t>
      </w:r>
      <w:r w:rsidR="00845898">
        <w:t>offers</w:t>
      </w:r>
      <w:r>
        <w:t xml:space="preserve"> </w:t>
      </w:r>
      <w:r w:rsidR="00845898">
        <w:t>numerous</w:t>
      </w:r>
      <w:r w:rsidR="006064E1">
        <w:t xml:space="preserve"> </w:t>
      </w:r>
      <w:r w:rsidR="00845898">
        <w:t>prospects</w:t>
      </w:r>
      <w:r w:rsidR="006064E1">
        <w:t xml:space="preserve"> for </w:t>
      </w:r>
      <w:r w:rsidR="00845898">
        <w:t>research based</w:t>
      </w:r>
      <w:r w:rsidR="006064E1">
        <w:t xml:space="preserve"> </w:t>
      </w:r>
      <w:r w:rsidR="00091677">
        <w:t>T</w:t>
      </w:r>
      <w:r w:rsidR="006064E1">
        <w:t xml:space="preserve">P1 </w:t>
      </w:r>
      <w:r w:rsidR="00091677">
        <w:t xml:space="preserve">training. </w:t>
      </w:r>
      <w:r>
        <w:t>Below are brief details o</w:t>
      </w:r>
      <w:r w:rsidR="00D411F3">
        <w:t>n</w:t>
      </w:r>
      <w:r>
        <w:t xml:space="preserve"> t</w:t>
      </w:r>
      <w:r w:rsidR="007A7885">
        <w:t>wo projects</w:t>
      </w:r>
      <w:r w:rsidR="002D7DD1">
        <w:t xml:space="preserve"> for the TP1 training that </w:t>
      </w:r>
      <w:r w:rsidR="00D411F3">
        <w:t>reflect</w:t>
      </w:r>
      <w:r w:rsidR="001023C5">
        <w:t xml:space="preserve"> the diversity of </w:t>
      </w:r>
      <w:proofErr w:type="spellStart"/>
      <w:r w:rsidR="001023C5">
        <w:t>MicroED</w:t>
      </w:r>
      <w:proofErr w:type="spellEnd"/>
      <w:r w:rsidR="001023C5">
        <w:t xml:space="preserve"> </w:t>
      </w:r>
      <w:r>
        <w:t>studies</w:t>
      </w:r>
      <w:r w:rsidR="008373BD">
        <w:t>, ensure completion of TP1 goals</w:t>
      </w:r>
      <w:r w:rsidR="00464AA3">
        <w:t>,</w:t>
      </w:r>
      <w:r w:rsidR="008373BD">
        <w:t xml:space="preserve"> and reflect the future </w:t>
      </w:r>
      <w:r w:rsidR="00845898">
        <w:t>range</w:t>
      </w:r>
      <w:r w:rsidR="007A7885">
        <w:t xml:space="preserve"> </w:t>
      </w:r>
      <w:r w:rsidR="00AC15D0">
        <w:t xml:space="preserve">of </w:t>
      </w:r>
      <w:r>
        <w:t>projects</w:t>
      </w:r>
      <w:r w:rsidR="001023C5">
        <w:t xml:space="preserve"> that the PI will be </w:t>
      </w:r>
      <w:r w:rsidR="00845898">
        <w:t>working</w:t>
      </w:r>
      <w:r>
        <w:t xml:space="preserve"> on after</w:t>
      </w:r>
      <w:r w:rsidR="001023C5">
        <w:t xml:space="preserve"> TP1 training. </w:t>
      </w:r>
    </w:p>
    <w:p w14:paraId="45BB2B73" w14:textId="4BB5F63A" w:rsidR="0085041D" w:rsidRPr="00845898" w:rsidRDefault="00550E3A" w:rsidP="007B65AD">
      <w:pPr>
        <w:spacing w:after="0"/>
        <w:jc w:val="both"/>
        <w:rPr>
          <w:b/>
          <w:bCs/>
        </w:rPr>
      </w:pPr>
      <w:r w:rsidRPr="00845898">
        <w:rPr>
          <w:b/>
          <w:bCs/>
        </w:rPr>
        <w:t xml:space="preserve">Project 1: </w:t>
      </w:r>
      <w:r w:rsidR="00845898" w:rsidRPr="00845898">
        <w:rPr>
          <w:b/>
          <w:bCs/>
        </w:rPr>
        <w:t>Synthetic</w:t>
      </w:r>
      <w:r w:rsidR="00CE0D06" w:rsidRPr="00845898">
        <w:rPr>
          <w:b/>
          <w:bCs/>
        </w:rPr>
        <w:t xml:space="preserve"> Helical A</w:t>
      </w:r>
      <w:r w:rsidR="0085041D" w:rsidRPr="00845898">
        <w:rPr>
          <w:b/>
          <w:bCs/>
        </w:rPr>
        <w:t xml:space="preserve">nion </w:t>
      </w:r>
      <w:r w:rsidR="00CE0D06" w:rsidRPr="00845898">
        <w:rPr>
          <w:b/>
          <w:bCs/>
        </w:rPr>
        <w:t>F</w:t>
      </w:r>
      <w:r w:rsidR="0085041D" w:rsidRPr="00845898">
        <w:rPr>
          <w:b/>
          <w:bCs/>
        </w:rPr>
        <w:t xml:space="preserve">oldamers </w:t>
      </w:r>
      <w:r w:rsidR="00845898" w:rsidRPr="00845898">
        <w:rPr>
          <w:b/>
          <w:bCs/>
        </w:rPr>
        <w:t>Meet Biological Anion Transport</w:t>
      </w:r>
    </w:p>
    <w:p w14:paraId="48745B64" w14:textId="5F3FE5B6" w:rsidR="00550E3A" w:rsidRDefault="00F438E7" w:rsidP="007B65AD">
      <w:pPr>
        <w:spacing w:after="0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35B812" wp14:editId="5FE24611">
            <wp:simplePos x="0" y="0"/>
            <wp:positionH relativeFrom="margin">
              <wp:posOffset>4061460</wp:posOffset>
            </wp:positionH>
            <wp:positionV relativeFrom="paragraph">
              <wp:posOffset>1643380</wp:posOffset>
            </wp:positionV>
            <wp:extent cx="2241550" cy="1200785"/>
            <wp:effectExtent l="0" t="0" r="6350" b="0"/>
            <wp:wrapTight wrapText="bothSides">
              <wp:wrapPolygon edited="0">
                <wp:start x="0" y="0"/>
                <wp:lineTo x="0" y="21246"/>
                <wp:lineTo x="21478" y="21246"/>
                <wp:lineTo x="2147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06"/>
                    <a:stretch/>
                  </pic:blipFill>
                  <pic:spPr bwMode="auto">
                    <a:xfrm>
                      <a:off x="0" y="0"/>
                      <a:ext cx="2241550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4866">
        <w:rPr>
          <w:bCs/>
        </w:rPr>
        <w:t xml:space="preserve">The blending of small molecule supramolecular chemistry </w:t>
      </w:r>
      <w:r w:rsidR="00F55F21">
        <w:rPr>
          <w:bCs/>
        </w:rPr>
        <w:t xml:space="preserve">with biological </w:t>
      </w:r>
      <w:r w:rsidR="00F84866">
        <w:rPr>
          <w:bCs/>
        </w:rPr>
        <w:t xml:space="preserve">anion transport </w:t>
      </w:r>
      <w:r w:rsidR="001A2AE2">
        <w:rPr>
          <w:bCs/>
        </w:rPr>
        <w:t>represents</w:t>
      </w:r>
      <w:r w:rsidR="00ED5AE5">
        <w:rPr>
          <w:bCs/>
        </w:rPr>
        <w:t xml:space="preserve"> </w:t>
      </w:r>
      <w:r w:rsidR="00ED5AE5" w:rsidRPr="00F86B17">
        <w:rPr>
          <w:bCs/>
        </w:rPr>
        <w:t xml:space="preserve">the </w:t>
      </w:r>
      <w:r w:rsidR="00ED5AE5">
        <w:rPr>
          <w:bCs/>
        </w:rPr>
        <w:t>intersection</w:t>
      </w:r>
      <w:r w:rsidR="00ED5AE5" w:rsidRPr="00F86B17">
        <w:rPr>
          <w:bCs/>
        </w:rPr>
        <w:t xml:space="preserve"> of </w:t>
      </w:r>
      <w:r w:rsidR="00ED5AE5">
        <w:rPr>
          <w:bCs/>
        </w:rPr>
        <w:t xml:space="preserve">two </w:t>
      </w:r>
      <w:r w:rsidR="00F55F21">
        <w:rPr>
          <w:bCs/>
        </w:rPr>
        <w:t xml:space="preserve">seemingly different </w:t>
      </w:r>
      <w:r w:rsidR="001A2AE2" w:rsidRPr="00F86B17">
        <w:rPr>
          <w:bCs/>
        </w:rPr>
        <w:t>fields</w:t>
      </w:r>
      <w:r w:rsidR="00ED5AE5">
        <w:rPr>
          <w:bCs/>
        </w:rPr>
        <w:t>.</w:t>
      </w:r>
      <w:r w:rsidR="00F55F21" w:rsidRPr="00F55F21">
        <w:rPr>
          <w:bCs/>
        </w:rPr>
        <w:t xml:space="preserve"> </w:t>
      </w:r>
      <w:r w:rsidR="00B37C42">
        <w:rPr>
          <w:bCs/>
        </w:rPr>
        <w:t>Research at d</w:t>
      </w:r>
      <w:r w:rsidR="001A2AE2">
        <w:rPr>
          <w:bCs/>
        </w:rPr>
        <w:t>iscipline crossroads, such as this,</w:t>
      </w:r>
      <w:r w:rsidR="00F55F21">
        <w:rPr>
          <w:bCs/>
        </w:rPr>
        <w:t xml:space="preserve"> </w:t>
      </w:r>
      <w:r w:rsidR="00B37C42">
        <w:rPr>
          <w:bCs/>
        </w:rPr>
        <w:t>often present</w:t>
      </w:r>
      <w:r w:rsidR="00F55F21">
        <w:rPr>
          <w:bCs/>
        </w:rPr>
        <w:t xml:space="preserve"> unique </w:t>
      </w:r>
      <w:r w:rsidR="001A2AE2">
        <w:rPr>
          <w:bCs/>
        </w:rPr>
        <w:t>approaches</w:t>
      </w:r>
      <w:r w:rsidR="00F55F21">
        <w:rPr>
          <w:bCs/>
        </w:rPr>
        <w:t xml:space="preserve"> </w:t>
      </w:r>
      <w:r w:rsidR="001A2AE2">
        <w:rPr>
          <w:bCs/>
        </w:rPr>
        <w:t xml:space="preserve">to chemical and biochemical problems. </w:t>
      </w:r>
      <w:r w:rsidR="00ED5AE5">
        <w:rPr>
          <w:bCs/>
        </w:rPr>
        <w:t>T</w:t>
      </w:r>
      <w:r w:rsidR="00F86B17" w:rsidRPr="00F86B17">
        <w:rPr>
          <w:bCs/>
        </w:rPr>
        <w:t xml:space="preserve">he Berryman lab </w:t>
      </w:r>
      <w:r w:rsidR="00F55F21">
        <w:rPr>
          <w:bCs/>
        </w:rPr>
        <w:t>at</w:t>
      </w:r>
      <w:r w:rsidR="007B65AD">
        <w:rPr>
          <w:bCs/>
        </w:rPr>
        <w:t xml:space="preserve"> </w:t>
      </w:r>
      <w:r w:rsidR="00F55F21">
        <w:rPr>
          <w:bCs/>
        </w:rPr>
        <w:t>UM</w:t>
      </w:r>
      <w:r w:rsidR="008F486D">
        <w:rPr>
          <w:bCs/>
        </w:rPr>
        <w:t xml:space="preserve"> is</w:t>
      </w:r>
      <w:r w:rsidR="00F55F21">
        <w:rPr>
          <w:bCs/>
        </w:rPr>
        <w:t xml:space="preserve"> </w:t>
      </w:r>
      <w:r w:rsidR="008F486D">
        <w:t>expanding into the field of synthetic anion transport by further developing their established helical assemblies.</w:t>
      </w:r>
      <w:r w:rsidR="008F486D" w:rsidRPr="008F486D">
        <w:rPr>
          <w:vertAlign w:val="superscript"/>
        </w:rPr>
        <w:t>1,2</w:t>
      </w:r>
      <w:r w:rsidR="008F486D">
        <w:t xml:space="preserve"> </w:t>
      </w:r>
      <w:r w:rsidR="00B37C42">
        <w:t>Specifically they</w:t>
      </w:r>
      <w:r w:rsidR="00B37C42" w:rsidRPr="00B37C42">
        <w:t xml:space="preserve"> </w:t>
      </w:r>
      <w:r w:rsidR="00B37C42">
        <w:t xml:space="preserve">have synthesized a family of </w:t>
      </w:r>
      <w:r w:rsidR="00B37C42" w:rsidRPr="0085041D">
        <w:t>oligomers</w:t>
      </w:r>
      <w:r w:rsidR="00B37C42">
        <w:t xml:space="preserve"> up to 15 repeat units with systematically varied substituent</w:t>
      </w:r>
      <w:r w:rsidR="00C54EFE">
        <w:t>s</w:t>
      </w:r>
      <w:r w:rsidR="00B37C42">
        <w:t xml:space="preserve"> (example shown in </w:t>
      </w:r>
      <w:r w:rsidR="00FA0E9A">
        <w:t>F</w:t>
      </w:r>
      <w:r w:rsidR="00B37C42">
        <w:t xml:space="preserve">igure 1). Solution studies have indicated different speciation based on oligomer </w:t>
      </w:r>
      <w:r w:rsidR="00FD2DF8">
        <w:t>variant</w:t>
      </w:r>
      <w:r w:rsidR="00B37C42">
        <w:t xml:space="preserve"> and when introduced to different anions. </w:t>
      </w:r>
      <w:r w:rsidR="001A2AE2">
        <w:t xml:space="preserve">Structural elucidation will better inform the solution and dynamics data gathered from </w:t>
      </w:r>
      <w:r w:rsidR="00C54EFE">
        <w:t>an</w:t>
      </w:r>
      <w:r w:rsidR="001A2AE2">
        <w:t>ion transport assays and binding studies. However, c</w:t>
      </w:r>
      <w:r w:rsidR="00E34410">
        <w:t xml:space="preserve">rystallization of these species </w:t>
      </w:r>
      <w:r w:rsidR="00F55F21">
        <w:t>is</w:t>
      </w:r>
      <w:r w:rsidR="00E34410">
        <w:t xml:space="preserve"> notoriously difficult</w:t>
      </w:r>
      <w:r w:rsidR="00ED4FAB">
        <w:t>—</w:t>
      </w:r>
      <w:r w:rsidR="00E34410">
        <w:t>only</w:t>
      </w:r>
      <w:r w:rsidR="00ED4FAB">
        <w:t xml:space="preserve"> </w:t>
      </w:r>
      <w:r w:rsidR="00013465">
        <w:t>1</w:t>
      </w:r>
      <w:r w:rsidR="00ED4FAB">
        <w:t xml:space="preserve"> </w:t>
      </w:r>
      <w:r w:rsidR="00E34410">
        <w:t xml:space="preserve">structure of </w:t>
      </w:r>
      <w:r w:rsidR="00013465">
        <w:t xml:space="preserve">an </w:t>
      </w:r>
      <w:r w:rsidR="00F55F21" w:rsidRPr="0085041D">
        <w:t>m-arylene-ethynylene oligomer</w:t>
      </w:r>
      <w:r w:rsidR="00ED4FAB">
        <w:t xml:space="preserve"> </w:t>
      </w:r>
      <w:r w:rsidR="00013465">
        <w:t xml:space="preserve">is </w:t>
      </w:r>
      <w:r w:rsidR="00E34410">
        <w:t xml:space="preserve">contained </w:t>
      </w:r>
      <w:r w:rsidR="001A2AE2">
        <w:t>within</w:t>
      </w:r>
      <w:r w:rsidR="00E34410">
        <w:t xml:space="preserve"> the Cambridge </w:t>
      </w:r>
      <w:r w:rsidR="00274D04">
        <w:t>S</w:t>
      </w:r>
      <w:r w:rsidR="00E34410">
        <w:t xml:space="preserve">tructural </w:t>
      </w:r>
      <w:r w:rsidR="00274D04">
        <w:t>D</w:t>
      </w:r>
      <w:r w:rsidR="00E34410">
        <w:t>atabase</w:t>
      </w:r>
      <w:r w:rsidR="00013465">
        <w:t>.</w:t>
      </w:r>
      <w:r w:rsidR="002D7DD1">
        <w:t xml:space="preserve"> </w:t>
      </w:r>
      <w:r w:rsidR="00845898">
        <w:t>T</w:t>
      </w:r>
      <w:r w:rsidR="00E34410">
        <w:t>he herculean effort</w:t>
      </w:r>
      <w:r w:rsidR="00274D04">
        <w:t xml:space="preserve"> (over 2 years)</w:t>
      </w:r>
      <w:r w:rsidR="00E34410">
        <w:t xml:space="preserve"> of</w:t>
      </w:r>
      <w:r w:rsidR="00845898">
        <w:t xml:space="preserve"> the Berryman lab ha</w:t>
      </w:r>
      <w:r w:rsidR="00C54EFE">
        <w:t>s</w:t>
      </w:r>
      <w:r w:rsidR="00845898">
        <w:t xml:space="preserve"> </w:t>
      </w:r>
      <w:r w:rsidR="00E34410">
        <w:t>only</w:t>
      </w:r>
      <w:r w:rsidR="0085041D">
        <w:t xml:space="preserve"> </w:t>
      </w:r>
      <w:r w:rsidR="00845898">
        <w:t xml:space="preserve">produced </w:t>
      </w:r>
      <w:r w:rsidR="0085041D">
        <w:t xml:space="preserve">a single </w:t>
      </w:r>
      <w:r w:rsidR="00274D04">
        <w:t xml:space="preserve">X-ray </w:t>
      </w:r>
      <w:r w:rsidR="0085041D">
        <w:t>structure</w:t>
      </w:r>
      <w:r w:rsidR="001A2AE2">
        <w:t>—</w:t>
      </w:r>
      <w:r w:rsidR="00F55F21">
        <w:t xml:space="preserve">a species with </w:t>
      </w:r>
      <w:r w:rsidR="0085041D">
        <w:t xml:space="preserve">nine </w:t>
      </w:r>
      <w:r w:rsidR="00F55F21">
        <w:t>repeat</w:t>
      </w:r>
      <w:r w:rsidR="0085041D">
        <w:t xml:space="preserve"> units (</w:t>
      </w:r>
      <w:r w:rsidR="00FA0E9A">
        <w:t>F</w:t>
      </w:r>
      <w:r w:rsidR="00E23CC3">
        <w:t>igure 1)</w:t>
      </w:r>
      <w:r w:rsidR="0085041D">
        <w:t xml:space="preserve">. </w:t>
      </w:r>
      <w:r w:rsidR="00184A0D">
        <w:t>However, c</w:t>
      </w:r>
      <w:r w:rsidR="00F55F21">
        <w:t xml:space="preserve">rystallization </w:t>
      </w:r>
      <w:r w:rsidR="00FA0E9A">
        <w:t>of both the oligomer and oligomer—anion complex</w:t>
      </w:r>
      <w:r w:rsidR="007B65AD">
        <w:t xml:space="preserve"> </w:t>
      </w:r>
      <w:r w:rsidR="00BF2F01">
        <w:t>often produce</w:t>
      </w:r>
      <w:r w:rsidR="001A2AE2">
        <w:t xml:space="preserve"> </w:t>
      </w:r>
      <w:r w:rsidR="00184A0D">
        <w:t xml:space="preserve">material </w:t>
      </w:r>
      <w:r w:rsidR="001A2AE2">
        <w:t>too small for traditional X-ray diffraction studies</w:t>
      </w:r>
      <w:r w:rsidR="00FA0E9A">
        <w:t xml:space="preserve">, making them promising candidates for </w:t>
      </w:r>
      <w:proofErr w:type="spellStart"/>
      <w:r w:rsidR="00FA0E9A">
        <w:t>MicroED</w:t>
      </w:r>
      <w:proofErr w:type="spellEnd"/>
      <w:r w:rsidR="00FA0E9A">
        <w:t xml:space="preserve">. </w:t>
      </w:r>
    </w:p>
    <w:p w14:paraId="2FF3EF1E" w14:textId="5D9FBC27" w:rsidR="007B65AD" w:rsidRDefault="00FD2DF8" w:rsidP="007B65AD">
      <w:pPr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B0DF7CD" wp14:editId="7CE91B40">
                <wp:simplePos x="0" y="0"/>
                <wp:positionH relativeFrom="margin">
                  <wp:posOffset>4023360</wp:posOffset>
                </wp:positionH>
                <wp:positionV relativeFrom="paragraph">
                  <wp:posOffset>125095</wp:posOffset>
                </wp:positionV>
                <wp:extent cx="2266315" cy="441960"/>
                <wp:effectExtent l="0" t="0" r="635" b="0"/>
                <wp:wrapTight wrapText="bothSides">
                  <wp:wrapPolygon edited="0">
                    <wp:start x="0" y="0"/>
                    <wp:lineTo x="0" y="20483"/>
                    <wp:lineTo x="21424" y="20483"/>
                    <wp:lineTo x="21424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315" cy="4419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45DB72" w14:textId="5FF95011" w:rsidR="00E23CC3" w:rsidRPr="00E23CC3" w:rsidRDefault="00E23CC3" w:rsidP="00E23CC3">
                            <w:pPr>
                              <w:pStyle w:val="Caption"/>
                              <w:jc w:val="both"/>
                              <w:rPr>
                                <w:noProof/>
                                <w:sz w:val="14"/>
                                <w:szCs w:val="14"/>
                              </w:rPr>
                            </w:pPr>
                            <w:r w:rsidRPr="00E23CC3">
                              <w:rPr>
                                <w:sz w:val="14"/>
                                <w:szCs w:val="14"/>
                              </w:rPr>
                              <w:t xml:space="preserve">Figure </w:t>
                            </w:r>
                            <w:r w:rsidRPr="00E23CC3">
                              <w:rPr>
                                <w:sz w:val="14"/>
                                <w:szCs w:val="14"/>
                              </w:rPr>
                              <w:fldChar w:fldCharType="begin"/>
                            </w:r>
                            <w:r w:rsidRPr="00E23CC3">
                              <w:rPr>
                                <w:sz w:val="14"/>
                                <w:szCs w:val="14"/>
                              </w:rPr>
                              <w:instrText xml:space="preserve"> SEQ Figure \* ARABIC </w:instrText>
                            </w:r>
                            <w:r w:rsidRPr="00E23CC3">
                              <w:rPr>
                                <w:sz w:val="14"/>
                                <w:szCs w:val="14"/>
                              </w:rPr>
                              <w:fldChar w:fldCharType="separate"/>
                            </w:r>
                            <w:r w:rsidRPr="00E23CC3">
                              <w:rPr>
                                <w:noProof/>
                                <w:sz w:val="14"/>
                                <w:szCs w:val="14"/>
                              </w:rPr>
                              <w:t>1</w:t>
                            </w:r>
                            <w:r w:rsidRPr="00E23CC3">
                              <w:rPr>
                                <w:sz w:val="14"/>
                                <w:szCs w:val="14"/>
                              </w:rPr>
                              <w:fldChar w:fldCharType="end"/>
                            </w:r>
                            <w:r w:rsidRPr="00E23CC3">
                              <w:rPr>
                                <w:sz w:val="14"/>
                                <w:szCs w:val="14"/>
                              </w:rPr>
                              <w:t xml:space="preserve">. 9-mer </w:t>
                            </w:r>
                            <w:proofErr w:type="spellStart"/>
                            <w:r w:rsidRPr="00E23CC3">
                              <w:rPr>
                                <w:sz w:val="14"/>
                                <w:szCs w:val="14"/>
                              </w:rPr>
                              <w:t>helicate</w:t>
                            </w:r>
                            <w:proofErr w:type="spellEnd"/>
                            <w:r w:rsidRPr="00E23CC3">
                              <w:rPr>
                                <w:sz w:val="14"/>
                                <w:szCs w:val="14"/>
                              </w:rPr>
                              <w:t xml:space="preserve"> single strand (top left), single helical column (top middle), packing (top right). Bottom </w:t>
                            </w:r>
                            <w:proofErr w:type="spellStart"/>
                            <w:r w:rsidRPr="00E23CC3">
                              <w:rPr>
                                <w:sz w:val="14"/>
                                <w:szCs w:val="14"/>
                              </w:rPr>
                              <w:t>chemdraw</w:t>
                            </w:r>
                            <w:proofErr w:type="spellEnd"/>
                            <w:r w:rsidRPr="00E23CC3">
                              <w:rPr>
                                <w:sz w:val="14"/>
                                <w:szCs w:val="14"/>
                              </w:rPr>
                              <w:t xml:space="preserve"> highlights the composition of the 9-mer. Extended oligomers </w:t>
                            </w:r>
                            <w:r w:rsidR="00B37C42">
                              <w:rPr>
                                <w:sz w:val="14"/>
                                <w:szCs w:val="14"/>
                              </w:rPr>
                              <w:t>contain</w:t>
                            </w:r>
                            <w:r w:rsidRPr="00E23CC3">
                              <w:rPr>
                                <w:sz w:val="14"/>
                                <w:szCs w:val="14"/>
                              </w:rPr>
                              <w:t xml:space="preserve"> additional bromine and</w:t>
                            </w:r>
                            <w:r w:rsidR="00B37C42">
                              <w:rPr>
                                <w:sz w:val="14"/>
                                <w:szCs w:val="14"/>
                              </w:rPr>
                              <w:t>/or</w:t>
                            </w:r>
                            <w:r w:rsidRPr="00E23CC3">
                              <w:rPr>
                                <w:sz w:val="14"/>
                                <w:szCs w:val="14"/>
                              </w:rPr>
                              <w:t xml:space="preserve"> amine containing rings.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DF7C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6.8pt;margin-top:9.85pt;width:178.45pt;height:34.8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" stroked="f">
                <v:textbox inset="0,0,0,0">
                  <w:txbxContent>
                    <w:p w14:paraId="1045DB72" w14:textId="5FF95011" w:rsidR="00E23CC3" w:rsidRPr="00E23CC3" w:rsidRDefault="00E23CC3" w:rsidP="00E23CC3">
                      <w:pPr>
                        <w:pStyle w:val="Caption"/>
                        <w:jc w:val="both"/>
                        <w:rPr>
                          <w:noProof/>
                          <w:sz w:val="14"/>
                          <w:szCs w:val="14"/>
                        </w:rPr>
                      </w:pPr>
                      <w:r w:rsidRPr="00E23CC3">
                        <w:rPr>
                          <w:sz w:val="14"/>
                          <w:szCs w:val="14"/>
                        </w:rPr>
                        <w:t xml:space="preserve">Figure </w:t>
                      </w:r>
                      <w:r w:rsidRPr="00E23CC3">
                        <w:rPr>
                          <w:sz w:val="14"/>
                          <w:szCs w:val="14"/>
                        </w:rPr>
                        <w:fldChar w:fldCharType="begin"/>
                      </w:r>
                      <w:r w:rsidRPr="00E23CC3">
                        <w:rPr>
                          <w:sz w:val="14"/>
                          <w:szCs w:val="14"/>
                        </w:rPr>
                        <w:instrText xml:space="preserve"> SEQ Figure \* ARABIC </w:instrText>
                      </w:r>
                      <w:r w:rsidRPr="00E23CC3">
                        <w:rPr>
                          <w:sz w:val="14"/>
                          <w:szCs w:val="14"/>
                        </w:rPr>
                        <w:fldChar w:fldCharType="separate"/>
                      </w:r>
                      <w:r w:rsidRPr="00E23CC3">
                        <w:rPr>
                          <w:noProof/>
                          <w:sz w:val="14"/>
                          <w:szCs w:val="14"/>
                        </w:rPr>
                        <w:t>1</w:t>
                      </w:r>
                      <w:r w:rsidRPr="00E23CC3">
                        <w:rPr>
                          <w:sz w:val="14"/>
                          <w:szCs w:val="14"/>
                        </w:rPr>
                        <w:fldChar w:fldCharType="end"/>
                      </w:r>
                      <w:r w:rsidRPr="00E23CC3">
                        <w:rPr>
                          <w:sz w:val="14"/>
                          <w:szCs w:val="14"/>
                        </w:rPr>
                        <w:t xml:space="preserve">. 9-mer </w:t>
                      </w:r>
                      <w:proofErr w:type="spellStart"/>
                      <w:r w:rsidRPr="00E23CC3">
                        <w:rPr>
                          <w:sz w:val="14"/>
                          <w:szCs w:val="14"/>
                        </w:rPr>
                        <w:t>helicate</w:t>
                      </w:r>
                      <w:proofErr w:type="spellEnd"/>
                      <w:r w:rsidRPr="00E23CC3">
                        <w:rPr>
                          <w:sz w:val="14"/>
                          <w:szCs w:val="14"/>
                        </w:rPr>
                        <w:t xml:space="preserve"> single strand (top left), single helical column (top middle), packing (top right). Bottom </w:t>
                      </w:r>
                      <w:proofErr w:type="spellStart"/>
                      <w:r w:rsidRPr="00E23CC3">
                        <w:rPr>
                          <w:sz w:val="14"/>
                          <w:szCs w:val="14"/>
                        </w:rPr>
                        <w:t>chemdraw</w:t>
                      </w:r>
                      <w:proofErr w:type="spellEnd"/>
                      <w:r w:rsidRPr="00E23CC3">
                        <w:rPr>
                          <w:sz w:val="14"/>
                          <w:szCs w:val="14"/>
                        </w:rPr>
                        <w:t xml:space="preserve"> highlights the composition of the 9-mer. Extended oligomers </w:t>
                      </w:r>
                      <w:r w:rsidR="00B37C42">
                        <w:rPr>
                          <w:sz w:val="14"/>
                          <w:szCs w:val="14"/>
                        </w:rPr>
                        <w:t>contain</w:t>
                      </w:r>
                      <w:r w:rsidRPr="00E23CC3">
                        <w:rPr>
                          <w:sz w:val="14"/>
                          <w:szCs w:val="14"/>
                        </w:rPr>
                        <w:t xml:space="preserve"> additional bromine and</w:t>
                      </w:r>
                      <w:r w:rsidR="00B37C42">
                        <w:rPr>
                          <w:sz w:val="14"/>
                          <w:szCs w:val="14"/>
                        </w:rPr>
                        <w:t>/or</w:t>
                      </w:r>
                      <w:r w:rsidRPr="00E23CC3">
                        <w:rPr>
                          <w:sz w:val="14"/>
                          <w:szCs w:val="14"/>
                        </w:rPr>
                        <w:t xml:space="preserve"> amine containing rings.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B8C88C2" w14:textId="6CFA691F" w:rsidR="00E34410" w:rsidRDefault="00E34410" w:rsidP="007B65AD">
      <w:pPr>
        <w:spacing w:after="0"/>
        <w:jc w:val="both"/>
      </w:pPr>
      <w:bookmarkStart w:id="0" w:name="_Hlk66868256"/>
      <w:r w:rsidRPr="00E34410">
        <w:rPr>
          <w:b/>
          <w:bCs/>
        </w:rPr>
        <w:t>Project 2</w:t>
      </w:r>
      <w:r w:rsidR="0085041D">
        <w:rPr>
          <w:b/>
          <w:bCs/>
        </w:rPr>
        <w:t>:</w:t>
      </w:r>
      <w:r w:rsidR="004871B8">
        <w:rPr>
          <w:b/>
          <w:bCs/>
        </w:rPr>
        <w:t xml:space="preserve"> </w:t>
      </w:r>
      <w:r w:rsidR="00A41D03">
        <w:rPr>
          <w:b/>
          <w:bCs/>
        </w:rPr>
        <w:t>Ric-8A—A unique guanine nucleotide exchange factor</w:t>
      </w:r>
    </w:p>
    <w:p w14:paraId="6C5CB43D" w14:textId="21BE1EF3" w:rsidR="005F7614" w:rsidRDefault="00320D34" w:rsidP="007B65AD">
      <w:pPr>
        <w:spacing w:after="0"/>
        <w:jc w:val="both"/>
      </w:pPr>
      <w:r w:rsidRPr="00320D34">
        <w:t>Heterotrimeric</w:t>
      </w:r>
      <w:r w:rsidR="00CA1B7D">
        <w:t xml:space="preserve"> </w:t>
      </w:r>
      <w:r w:rsidR="0089573C">
        <w:t>G proteins</w:t>
      </w:r>
      <w:r w:rsidR="006461B7">
        <w:t xml:space="preserve"> (comprised of </w:t>
      </w:r>
      <w:r w:rsidR="006461B7">
        <w:rPr>
          <w:rFonts w:cstheme="minorHAnsi"/>
        </w:rPr>
        <w:t>α, β, and γ subunits)</w:t>
      </w:r>
      <w:r w:rsidR="0089573C">
        <w:t xml:space="preserve"> regulate </w:t>
      </w:r>
      <w:r w:rsidR="00CA1B7D">
        <w:t>various cellular functions by the exchange of GDP and GT</w:t>
      </w:r>
      <w:r w:rsidR="00D57F97">
        <w:t>P</w:t>
      </w:r>
      <w:r w:rsidR="00CA1B7D">
        <w:t>. The release of GDP</w:t>
      </w:r>
      <w:r w:rsidR="004F3AC1">
        <w:t xml:space="preserve"> from G</w:t>
      </w:r>
      <w:r w:rsidR="004F3AC1">
        <w:rPr>
          <w:rFonts w:cstheme="minorHAnsi"/>
        </w:rPr>
        <w:t>α</w:t>
      </w:r>
      <w:r w:rsidR="004F3AC1">
        <w:t xml:space="preserve"> </w:t>
      </w:r>
      <w:r w:rsidR="00CA1B7D">
        <w:t xml:space="preserve">can be </w:t>
      </w:r>
      <w:r w:rsidR="00D57F97">
        <w:t>facilitated</w:t>
      </w:r>
      <w:r w:rsidR="00CA1B7D">
        <w:t xml:space="preserve"> by</w:t>
      </w:r>
      <w:r w:rsidR="00CB4B25">
        <w:t xml:space="preserve"> additional</w:t>
      </w:r>
      <w:r w:rsidR="00CA1B7D">
        <w:t xml:space="preserve"> </w:t>
      </w:r>
      <w:r w:rsidR="004F3AC1">
        <w:t>proteins</w:t>
      </w:r>
      <w:r w:rsidR="00D51F27">
        <w:t xml:space="preserve">, several of which </w:t>
      </w:r>
      <w:r w:rsidR="004F3AC1">
        <w:t xml:space="preserve">have been identified in the cytoplasm. </w:t>
      </w:r>
      <w:r w:rsidR="004F3AC1" w:rsidRPr="000E3F91">
        <w:t xml:space="preserve">Resistance to </w:t>
      </w:r>
      <w:r w:rsidR="000F24B6" w:rsidRPr="000E3F91">
        <w:t>I</w:t>
      </w:r>
      <w:r w:rsidR="004F3AC1" w:rsidRPr="000E3F91">
        <w:t>nhibitors of Cholinesterase 8A (Ric-8A)</w:t>
      </w:r>
      <w:r w:rsidR="00D51F27" w:rsidRPr="000E3F91">
        <w:t xml:space="preserve"> is one of these proteins</w:t>
      </w:r>
      <w:r w:rsidR="00274D04" w:rsidRPr="000E3F91">
        <w:t xml:space="preserve"> and facilitates the</w:t>
      </w:r>
      <w:r w:rsidR="00274D04">
        <w:t xml:space="preserve"> release of GDP different than</w:t>
      </w:r>
      <w:r w:rsidR="00E82CCD">
        <w:t xml:space="preserve"> other </w:t>
      </w:r>
      <w:r w:rsidR="00E82CCD">
        <w:rPr>
          <w:rFonts w:cstheme="minorHAnsi"/>
        </w:rPr>
        <w:t>guanine nucleotide exchange factors</w:t>
      </w:r>
      <w:r w:rsidR="00274D04">
        <w:rPr>
          <w:rFonts w:cstheme="minorHAnsi"/>
        </w:rPr>
        <w:t xml:space="preserve">. This, along with the fact that </w:t>
      </w:r>
      <w:r w:rsidR="00274D04">
        <w:t xml:space="preserve">Ric-8A is </w:t>
      </w:r>
      <w:r w:rsidR="00274D04" w:rsidRPr="001706AA">
        <w:t>a</w:t>
      </w:r>
      <w:r w:rsidR="00274D04">
        <w:t>lso a</w:t>
      </w:r>
      <w:r w:rsidR="00274D04" w:rsidRPr="001706AA">
        <w:t xml:space="preserve"> Gα chaperone</w:t>
      </w:r>
      <w:r w:rsidR="00274D04">
        <w:t xml:space="preserve">, </w:t>
      </w:r>
      <w:r w:rsidR="00723EB9">
        <w:t>has motivated inquiries into its mechanism</w:t>
      </w:r>
      <w:r w:rsidR="00FA0E9A">
        <w:t>,</w:t>
      </w:r>
      <w:r w:rsidR="00E82CCD">
        <w:t xml:space="preserve"> and until recently structural details remained scarce. </w:t>
      </w:r>
      <w:r w:rsidR="00672A3A">
        <w:t xml:space="preserve"> </w:t>
      </w:r>
    </w:p>
    <w:p w14:paraId="3D2BE8E8" w14:textId="57AFCFC1" w:rsidR="00A56271" w:rsidRDefault="00D26C75" w:rsidP="00845898">
      <w:pPr>
        <w:spacing w:before="240"/>
        <w:jc w:val="both"/>
        <w:rPr>
          <w:rFonts w:cstheme="minorHAnsi"/>
        </w:rPr>
      </w:pPr>
      <w:r>
        <w:t xml:space="preserve">In 2019, </w:t>
      </w:r>
      <w:r w:rsidR="004F3AC1">
        <w:t>the Sprang lab at the U</w:t>
      </w:r>
      <w:r>
        <w:t>M</w:t>
      </w:r>
      <w:r w:rsidR="004F3AC1">
        <w:t xml:space="preserve"> elucidated the structure of Ric-8A</w:t>
      </w:r>
      <w:r w:rsidR="005526A8">
        <w:t xml:space="preserve"> 1-452</w:t>
      </w:r>
      <w:r w:rsidR="004F3AC1">
        <w:t xml:space="preserve"> </w:t>
      </w:r>
      <w:r>
        <w:t>though X-ray crystallographic</w:t>
      </w:r>
      <w:r w:rsidR="00EA35AF">
        <w:t xml:space="preserve"> </w:t>
      </w:r>
      <w:r>
        <w:t>studies.</w:t>
      </w:r>
      <w:r w:rsidR="00464AA3" w:rsidRPr="00464AA3">
        <w:rPr>
          <w:vertAlign w:val="superscript"/>
        </w:rPr>
        <w:t>3</w:t>
      </w:r>
      <w:r w:rsidR="00EA35AF">
        <w:t xml:space="preserve"> </w:t>
      </w:r>
      <w:r>
        <w:t>This</w:t>
      </w:r>
      <w:r w:rsidR="00EA35AF">
        <w:t xml:space="preserve"> </w:t>
      </w:r>
      <w:r>
        <w:t>was</w:t>
      </w:r>
      <w:r w:rsidR="00EA35AF">
        <w:t xml:space="preserve"> </w:t>
      </w:r>
      <w:r>
        <w:t>followed by</w:t>
      </w:r>
      <w:r w:rsidRPr="00D26C75">
        <w:t xml:space="preserve"> X-ray</w:t>
      </w:r>
      <w:r w:rsidR="00EA35AF">
        <w:t xml:space="preserve"> </w:t>
      </w:r>
      <w:r w:rsidRPr="00D26C75">
        <w:t xml:space="preserve">crystal structures </w:t>
      </w:r>
      <w:r w:rsidR="00D51F27">
        <w:t xml:space="preserve">of </w:t>
      </w:r>
      <w:r w:rsidRPr="00D26C75">
        <w:t>the apo form of Ric-8A 1-492 and a complex of Ric-8A 1-426</w:t>
      </w:r>
      <w:r w:rsidR="00EA35AF">
        <w:t xml:space="preserve"> </w:t>
      </w:r>
      <w:r w:rsidRPr="00D26C75">
        <w:t xml:space="preserve">with </w:t>
      </w:r>
      <w:r w:rsidR="00E82CCD" w:rsidRPr="00D26C75">
        <w:t>a</w:t>
      </w:r>
      <w:r w:rsidR="00E82CCD">
        <w:t xml:space="preserve"> </w:t>
      </w:r>
      <w:r w:rsidRPr="00D26C75">
        <w:t>tagged C-terminal peptide of Gα</w:t>
      </w:r>
      <w:r>
        <w:t>.</w:t>
      </w:r>
      <w:r w:rsidR="008A6002" w:rsidRPr="008A6002">
        <w:rPr>
          <w:vertAlign w:val="superscript"/>
        </w:rPr>
        <w:t>4</w:t>
      </w:r>
      <w:r>
        <w:t xml:space="preserve"> In 2020, the Sprang lab reported the </w:t>
      </w:r>
      <w:r w:rsidR="005526A8">
        <w:t xml:space="preserve">X-ray crystal structure and the </w:t>
      </w:r>
      <w:proofErr w:type="spellStart"/>
      <w:r w:rsidR="00672A3A">
        <w:t>cryoEM</w:t>
      </w:r>
      <w:proofErr w:type="spellEnd"/>
      <w:r w:rsidR="00672A3A">
        <w:t xml:space="preserve"> </w:t>
      </w:r>
      <w:r w:rsidR="005526A8">
        <w:t>structure of</w:t>
      </w:r>
      <w:r w:rsidR="00193A5C">
        <w:t xml:space="preserve"> nanobody stabilized</w:t>
      </w:r>
      <w:r w:rsidR="005526A8">
        <w:t xml:space="preserve"> Ric-8A</w:t>
      </w:r>
      <w:r w:rsidR="00320D34">
        <w:t xml:space="preserve"> 1-491</w:t>
      </w:r>
      <w:r w:rsidR="005526A8">
        <w:t xml:space="preserve"> bound to G</w:t>
      </w:r>
      <w:r w:rsidR="005526A8">
        <w:rPr>
          <w:rFonts w:cstheme="minorHAnsi"/>
        </w:rPr>
        <w:t>α</w:t>
      </w:r>
      <w:r w:rsidR="005526A8">
        <w:t>i1.</w:t>
      </w:r>
      <w:r w:rsidR="00542012">
        <w:rPr>
          <w:vertAlign w:val="superscript"/>
        </w:rPr>
        <w:t>5</w:t>
      </w:r>
      <w:r w:rsidR="005526A8">
        <w:t xml:space="preserve"> Since this study there have been several other </w:t>
      </w:r>
      <w:proofErr w:type="spellStart"/>
      <w:r w:rsidR="005526A8">
        <w:t>CryoEM</w:t>
      </w:r>
      <w:proofErr w:type="spellEnd"/>
      <w:r w:rsidR="005526A8">
        <w:t xml:space="preserve"> structures that have elucidated </w:t>
      </w:r>
      <w:r w:rsidR="00E82CCD">
        <w:t xml:space="preserve">folding </w:t>
      </w:r>
      <w:r w:rsidR="005526A8">
        <w:t xml:space="preserve">intermediates of the Ric-8A </w:t>
      </w:r>
      <w:r w:rsidR="00320D34">
        <w:t>with</w:t>
      </w:r>
      <w:r w:rsidR="005526A8">
        <w:t xml:space="preserve"> G</w:t>
      </w:r>
      <w:r w:rsidR="005526A8">
        <w:rPr>
          <w:rFonts w:cstheme="minorHAnsi"/>
        </w:rPr>
        <w:t>α</w:t>
      </w:r>
      <w:proofErr w:type="spellStart"/>
      <w:r w:rsidR="00E82CCD">
        <w:rPr>
          <w:rFonts w:cstheme="minorHAnsi"/>
        </w:rPr>
        <w:t>i</w:t>
      </w:r>
      <w:proofErr w:type="spellEnd"/>
      <w:r w:rsidR="00E82CCD">
        <w:rPr>
          <w:rFonts w:cstheme="minorHAnsi"/>
        </w:rPr>
        <w:t xml:space="preserve"> and </w:t>
      </w:r>
      <w:r w:rsidR="00E82CCD">
        <w:t>G</w:t>
      </w:r>
      <w:r w:rsidR="00E82CCD">
        <w:rPr>
          <w:rFonts w:cstheme="minorHAnsi"/>
        </w:rPr>
        <w:t>αq</w:t>
      </w:r>
      <w:r w:rsidR="00274D04">
        <w:rPr>
          <w:rFonts w:cstheme="minorHAnsi"/>
        </w:rPr>
        <w:t xml:space="preserve"> highlighting the interest in this area.</w:t>
      </w:r>
      <w:r w:rsidR="00542012">
        <w:rPr>
          <w:rFonts w:cstheme="minorHAnsi"/>
          <w:vertAlign w:val="superscript"/>
        </w:rPr>
        <w:t>6</w:t>
      </w:r>
      <w:r w:rsidR="00274D04">
        <w:rPr>
          <w:rFonts w:cstheme="minorHAnsi"/>
        </w:rPr>
        <w:t xml:space="preserve"> </w:t>
      </w:r>
    </w:p>
    <w:p w14:paraId="665A2EE4" w14:textId="03F146D2" w:rsidR="0064745F" w:rsidRDefault="00320D34" w:rsidP="007A7885">
      <w:pPr>
        <w:jc w:val="both"/>
      </w:pPr>
      <w:r>
        <w:rPr>
          <w:rFonts w:cstheme="minorHAnsi"/>
        </w:rPr>
        <w:t>A</w:t>
      </w:r>
      <w:r w:rsidR="008F39E4">
        <w:rPr>
          <w:rFonts w:cstheme="minorHAnsi"/>
        </w:rPr>
        <w:t xml:space="preserve"> </w:t>
      </w:r>
      <w:proofErr w:type="spellStart"/>
      <w:r w:rsidR="008F39E4">
        <w:rPr>
          <w:rFonts w:cstheme="minorHAnsi"/>
        </w:rPr>
        <w:t>MicroED</w:t>
      </w:r>
      <w:proofErr w:type="spellEnd"/>
      <w:r w:rsidR="008F39E4">
        <w:rPr>
          <w:rFonts w:cstheme="minorHAnsi"/>
        </w:rPr>
        <w:t xml:space="preserve"> structure of </w:t>
      </w:r>
      <w:r w:rsidR="008F39E4">
        <w:t>Ric-8A bound to G</w:t>
      </w:r>
      <w:r w:rsidR="008F39E4">
        <w:rPr>
          <w:rFonts w:cstheme="minorHAnsi"/>
        </w:rPr>
        <w:t>α</w:t>
      </w:r>
      <w:r w:rsidR="008F39E4">
        <w:t xml:space="preserve">i1 would provide an ideal </w:t>
      </w:r>
      <w:r w:rsidR="0021269E">
        <w:t xml:space="preserve">TP1 </w:t>
      </w:r>
      <w:r w:rsidR="008F39E4">
        <w:t xml:space="preserve">training data set as the X-ray and </w:t>
      </w:r>
      <w:proofErr w:type="spellStart"/>
      <w:r w:rsidR="008F39E4">
        <w:t>CryoEM</w:t>
      </w:r>
      <w:proofErr w:type="spellEnd"/>
      <w:r w:rsidR="008F39E4">
        <w:t xml:space="preserve"> structures are known</w:t>
      </w:r>
      <w:r>
        <w:t xml:space="preserve">, the materials </w:t>
      </w:r>
      <w:r w:rsidR="007F34F7">
        <w:t xml:space="preserve">are readily available, </w:t>
      </w:r>
      <w:r>
        <w:t>and methodology for crystallization</w:t>
      </w:r>
      <w:r w:rsidR="007F34F7">
        <w:t xml:space="preserve"> </w:t>
      </w:r>
      <w:r w:rsidR="00274D04">
        <w:t xml:space="preserve">has been </w:t>
      </w:r>
      <w:r w:rsidR="007F34F7">
        <w:t>established.</w:t>
      </w:r>
      <w:r w:rsidR="008F39E4">
        <w:t xml:space="preserve"> This </w:t>
      </w:r>
      <w:r w:rsidR="00274D04">
        <w:t xml:space="preserve">work </w:t>
      </w:r>
      <w:r w:rsidR="008F39E4">
        <w:t>would</w:t>
      </w:r>
      <w:r w:rsidR="0021269E">
        <w:t xml:space="preserve"> also</w:t>
      </w:r>
      <w:r w:rsidR="008F39E4">
        <w:t xml:space="preserve"> </w:t>
      </w:r>
      <w:r w:rsidR="005907EA">
        <w:t>provide a tangible</w:t>
      </w:r>
      <w:r w:rsidR="008F39E4">
        <w:t xml:space="preserve"> example of the</w:t>
      </w:r>
      <w:r w:rsidR="007F34F7">
        <w:t xml:space="preserve"> interplay between</w:t>
      </w:r>
      <w:r w:rsidR="008F39E4">
        <w:t xml:space="preserve"> data quality differences between these three techniques using a </w:t>
      </w:r>
      <w:r w:rsidR="007F34F7">
        <w:t xml:space="preserve">modern </w:t>
      </w:r>
      <w:r w:rsidR="005907EA">
        <w:t xml:space="preserve">research </w:t>
      </w:r>
      <w:r w:rsidR="008F39E4">
        <w:t>sample</w:t>
      </w:r>
      <w:r w:rsidR="005907EA">
        <w:t>, not lysozyme</w:t>
      </w:r>
      <w:r w:rsidR="008F39E4">
        <w:t xml:space="preserve">. </w:t>
      </w:r>
      <w:r w:rsidR="007B65AD">
        <w:t>Ongoing</w:t>
      </w:r>
      <w:r>
        <w:t xml:space="preserve"> studies of mutated </w:t>
      </w:r>
      <w:r w:rsidR="00672A3A">
        <w:t xml:space="preserve">Ric-8A </w:t>
      </w:r>
      <w:r w:rsidR="0021269E">
        <w:t xml:space="preserve">in the Sprang lab are expected to </w:t>
      </w:r>
      <w:r w:rsidR="00672A3A">
        <w:t>produce similar crystalline materials</w:t>
      </w:r>
      <w:r w:rsidR="006634BD">
        <w:t xml:space="preserve"> suitable for </w:t>
      </w:r>
      <w:proofErr w:type="spellStart"/>
      <w:r w:rsidR="006634BD">
        <w:t>MicroED</w:t>
      </w:r>
      <w:proofErr w:type="spellEnd"/>
      <w:r w:rsidR="006634BD">
        <w:t xml:space="preserve">. Other </w:t>
      </w:r>
      <w:r w:rsidR="0021269E">
        <w:t>considerations</w:t>
      </w:r>
      <w:r w:rsidR="007F34F7">
        <w:t xml:space="preserve"> for </w:t>
      </w:r>
      <w:r w:rsidR="0021269E">
        <w:t xml:space="preserve">the </w:t>
      </w:r>
      <w:r w:rsidR="007F34F7">
        <w:t xml:space="preserve">TP1 training </w:t>
      </w:r>
      <w:r w:rsidR="00B37C42">
        <w:t xml:space="preserve">under this project include the </w:t>
      </w:r>
      <w:r w:rsidR="00672A3A">
        <w:t>native</w:t>
      </w:r>
      <w:r w:rsidR="006634BD">
        <w:t xml:space="preserve"> </w:t>
      </w:r>
      <w:r w:rsidR="006634BD" w:rsidRPr="006634BD">
        <w:t>530-amino</w:t>
      </w:r>
      <w:r w:rsidR="006634BD">
        <w:t xml:space="preserve"> structure</w:t>
      </w:r>
      <w:r w:rsidR="00CD139E">
        <w:t xml:space="preserve"> of Ric-8A as well as </w:t>
      </w:r>
      <w:r w:rsidR="006634BD">
        <w:t>the homologue Ric-8B</w:t>
      </w:r>
      <w:r w:rsidR="007B65AD">
        <w:t>—</w:t>
      </w:r>
      <w:r w:rsidR="00CD139E">
        <w:t>both</w:t>
      </w:r>
      <w:r w:rsidR="00542012">
        <w:t xml:space="preserve"> of which</w:t>
      </w:r>
      <w:r w:rsidR="007B65AD">
        <w:t xml:space="preserve"> </w:t>
      </w:r>
      <w:r w:rsidR="0021269E">
        <w:t xml:space="preserve">remain </w:t>
      </w:r>
      <w:r w:rsidR="006634BD">
        <w:t>elusive</w:t>
      </w:r>
      <w:bookmarkEnd w:id="0"/>
      <w:r w:rsidR="0021269E">
        <w:t xml:space="preserve"> and produce microcrystalline material. </w:t>
      </w:r>
    </w:p>
    <w:p w14:paraId="5A36A899" w14:textId="77777777" w:rsidR="000F24B6" w:rsidRPr="000F24B6" w:rsidRDefault="000F24B6" w:rsidP="007A7885">
      <w:pPr>
        <w:jc w:val="both"/>
      </w:pPr>
    </w:p>
    <w:p w14:paraId="19EB012A" w14:textId="57BD49AA" w:rsidR="00F438E7" w:rsidRDefault="00274D04" w:rsidP="007A7885">
      <w:pPr>
        <w:jc w:val="both"/>
      </w:pPr>
      <w:r w:rsidRPr="0064745F">
        <w:rPr>
          <w:b/>
          <w:bCs/>
        </w:rPr>
        <w:t>Overall, t</w:t>
      </w:r>
      <w:r w:rsidR="007B65AD" w:rsidRPr="0064745F">
        <w:rPr>
          <w:b/>
          <w:bCs/>
        </w:rPr>
        <w:t xml:space="preserve">hese projects represent a blend </w:t>
      </w:r>
      <w:r w:rsidR="00777B88" w:rsidRPr="0064745F">
        <w:rPr>
          <w:b/>
          <w:bCs/>
        </w:rPr>
        <w:t>known and novel</w:t>
      </w:r>
      <w:r w:rsidR="007B65AD" w:rsidRPr="0064745F">
        <w:rPr>
          <w:b/>
          <w:bCs/>
        </w:rPr>
        <w:t xml:space="preserve"> works that will ensure the</w:t>
      </w:r>
      <w:r w:rsidR="007F34F7" w:rsidRPr="0064745F">
        <w:rPr>
          <w:b/>
          <w:bCs/>
        </w:rPr>
        <w:t xml:space="preserve"> training</w:t>
      </w:r>
      <w:r w:rsidR="007B65AD" w:rsidRPr="0064745F">
        <w:rPr>
          <w:b/>
          <w:bCs/>
        </w:rPr>
        <w:t xml:space="preserve"> goals of TP1 are met</w:t>
      </w:r>
      <w:r w:rsidRPr="0064745F">
        <w:rPr>
          <w:b/>
          <w:bCs/>
        </w:rPr>
        <w:t xml:space="preserve">, produce meaningful results, and </w:t>
      </w:r>
      <w:r w:rsidR="0064745F">
        <w:rPr>
          <w:b/>
          <w:bCs/>
        </w:rPr>
        <w:t>grow the appreciation</w:t>
      </w:r>
      <w:r w:rsidR="001F7946" w:rsidRPr="0064745F">
        <w:rPr>
          <w:b/>
          <w:bCs/>
        </w:rPr>
        <w:t xml:space="preserve"> of </w:t>
      </w:r>
      <w:proofErr w:type="spellStart"/>
      <w:r w:rsidR="001F7946" w:rsidRPr="0064745F">
        <w:rPr>
          <w:b/>
          <w:bCs/>
        </w:rPr>
        <w:t>MicroED</w:t>
      </w:r>
      <w:proofErr w:type="spellEnd"/>
      <w:r w:rsidR="0064745F">
        <w:rPr>
          <w:b/>
          <w:bCs/>
        </w:rPr>
        <w:t>.</w:t>
      </w:r>
    </w:p>
    <w:sectPr w:rsidR="00F438E7" w:rsidSect="00B37C42">
      <w:headerReference w:type="default" r:id="rId8"/>
      <w:footerReference w:type="default" r:id="rId9"/>
      <w:pgSz w:w="12240" w:h="15840"/>
      <w:pgMar w:top="1152" w:right="1152" w:bottom="1152" w:left="1152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FEF3B" w14:textId="77777777" w:rsidR="009A739A" w:rsidRDefault="009A739A" w:rsidP="008F486D">
      <w:pPr>
        <w:spacing w:after="0" w:line="240" w:lineRule="auto"/>
      </w:pPr>
      <w:r>
        <w:separator/>
      </w:r>
    </w:p>
  </w:endnote>
  <w:endnote w:type="continuationSeparator" w:id="0">
    <w:p w14:paraId="13129C4F" w14:textId="77777777" w:rsidR="009A739A" w:rsidRDefault="009A739A" w:rsidP="008F4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8B803" w14:textId="058209B5" w:rsidR="008F486D" w:rsidRPr="008A6002" w:rsidRDefault="00464AA3" w:rsidP="00464AA3">
    <w:pPr>
      <w:pStyle w:val="Footer"/>
      <w:rPr>
        <w:sz w:val="14"/>
        <w:szCs w:val="14"/>
      </w:rPr>
    </w:pPr>
    <w:r w:rsidRPr="008A6002">
      <w:rPr>
        <w:rStyle w:val="Emphasis"/>
        <w:rFonts w:ascii="Helvetica" w:hAnsi="Helvetica" w:cs="Helvetica"/>
        <w:sz w:val="14"/>
        <w:szCs w:val="14"/>
        <w:shd w:val="clear" w:color="auto" w:fill="FFFFFF"/>
      </w:rPr>
      <w:t xml:space="preserve">[1] </w:t>
    </w:r>
    <w:proofErr w:type="spellStart"/>
    <w:r w:rsidR="008F486D" w:rsidRPr="008A6002">
      <w:rPr>
        <w:rStyle w:val="Emphasis"/>
        <w:rFonts w:ascii="Helvetica" w:hAnsi="Helvetica" w:cs="Helvetica"/>
        <w:sz w:val="14"/>
        <w:szCs w:val="14"/>
        <w:shd w:val="clear" w:color="auto" w:fill="FFFFFF"/>
      </w:rPr>
      <w:t>Angewandte</w:t>
    </w:r>
    <w:proofErr w:type="spellEnd"/>
    <w:r w:rsidR="008F486D" w:rsidRPr="008A6002">
      <w:rPr>
        <w:rStyle w:val="Emphasis"/>
        <w:rFonts w:ascii="Helvetica" w:hAnsi="Helvetica" w:cs="Helvetica"/>
        <w:sz w:val="14"/>
        <w:szCs w:val="14"/>
        <w:shd w:val="clear" w:color="auto" w:fill="FFFFFF"/>
      </w:rPr>
      <w:t xml:space="preserve"> </w:t>
    </w:r>
    <w:proofErr w:type="spellStart"/>
    <w:r w:rsidR="008F486D" w:rsidRPr="008A6002">
      <w:rPr>
        <w:rStyle w:val="Emphasis"/>
        <w:rFonts w:ascii="Helvetica" w:hAnsi="Helvetica" w:cs="Helvetica"/>
        <w:sz w:val="14"/>
        <w:szCs w:val="14"/>
        <w:shd w:val="clear" w:color="auto" w:fill="FFFFFF"/>
      </w:rPr>
      <w:t>Chemie</w:t>
    </w:r>
    <w:proofErr w:type="spellEnd"/>
    <w:r w:rsidR="008F486D" w:rsidRPr="008A6002">
      <w:rPr>
        <w:rStyle w:val="Emphasis"/>
        <w:rFonts w:ascii="Helvetica" w:hAnsi="Helvetica" w:cs="Helvetica"/>
        <w:sz w:val="14"/>
        <w:szCs w:val="14"/>
        <w:shd w:val="clear" w:color="auto" w:fill="FFFFFF"/>
      </w:rPr>
      <w:t xml:space="preserve"> International Edition</w:t>
    </w:r>
    <w:r w:rsidR="008F486D" w:rsidRPr="008A6002">
      <w:rPr>
        <w:rFonts w:ascii="Helvetica" w:hAnsi="Helvetica" w:cs="Helvetica"/>
        <w:sz w:val="14"/>
        <w:szCs w:val="14"/>
        <w:shd w:val="clear" w:color="auto" w:fill="FFFFFF"/>
      </w:rPr>
      <w:t>, </w:t>
    </w:r>
    <w:r w:rsidR="008F486D" w:rsidRPr="008A6002">
      <w:rPr>
        <w:rStyle w:val="Strong"/>
        <w:rFonts w:ascii="Helvetica" w:hAnsi="Helvetica" w:cs="Helvetica"/>
        <w:sz w:val="14"/>
        <w:szCs w:val="14"/>
        <w:shd w:val="clear" w:color="auto" w:fill="FFFFFF"/>
      </w:rPr>
      <w:t>2016</w:t>
    </w:r>
    <w:r w:rsidR="008F486D" w:rsidRPr="008A6002">
      <w:rPr>
        <w:rFonts w:ascii="Helvetica" w:hAnsi="Helvetica" w:cs="Helvetica"/>
        <w:sz w:val="14"/>
        <w:szCs w:val="14"/>
        <w:shd w:val="clear" w:color="auto" w:fill="FFFFFF"/>
      </w:rPr>
      <w:t xml:space="preserve">, 55, 12398–12402.  </w:t>
    </w:r>
    <w:r w:rsidRPr="008A6002">
      <w:rPr>
        <w:rFonts w:ascii="Helvetica" w:hAnsi="Helvetica" w:cs="Helvetica"/>
        <w:sz w:val="14"/>
        <w:szCs w:val="14"/>
        <w:shd w:val="clear" w:color="auto" w:fill="FFFFFF"/>
      </w:rPr>
      <w:t>[</w:t>
    </w:r>
    <w:r w:rsidR="008F486D" w:rsidRPr="008A6002">
      <w:rPr>
        <w:rFonts w:ascii="Helvetica" w:hAnsi="Helvetica" w:cs="Helvetica"/>
        <w:sz w:val="14"/>
        <w:szCs w:val="14"/>
        <w:shd w:val="clear" w:color="auto" w:fill="FFFFFF"/>
      </w:rPr>
      <w:t>2</w:t>
    </w:r>
    <w:r w:rsidRPr="008A6002">
      <w:rPr>
        <w:rFonts w:ascii="Helvetica" w:hAnsi="Helvetica" w:cs="Helvetica"/>
        <w:sz w:val="14"/>
        <w:szCs w:val="14"/>
        <w:shd w:val="clear" w:color="auto" w:fill="FFFFFF"/>
      </w:rPr>
      <w:t>]</w:t>
    </w:r>
    <w:r w:rsidR="008F486D" w:rsidRPr="008A6002">
      <w:rPr>
        <w:rStyle w:val="CommentReference"/>
        <w:rFonts w:ascii="Helvetica" w:hAnsi="Helvetica" w:cs="Helvetica"/>
        <w:sz w:val="14"/>
        <w:szCs w:val="14"/>
        <w:shd w:val="clear" w:color="auto" w:fill="FFFFFF"/>
      </w:rPr>
      <w:t xml:space="preserve"> </w:t>
    </w:r>
    <w:proofErr w:type="spellStart"/>
    <w:r w:rsidR="008F486D" w:rsidRPr="008A6002">
      <w:rPr>
        <w:rStyle w:val="Emphasis"/>
        <w:rFonts w:ascii="Helvetica" w:hAnsi="Helvetica" w:cs="Helvetica"/>
        <w:sz w:val="14"/>
        <w:szCs w:val="14"/>
        <w:shd w:val="clear" w:color="auto" w:fill="FFFFFF"/>
      </w:rPr>
      <w:t>Angewandte</w:t>
    </w:r>
    <w:proofErr w:type="spellEnd"/>
    <w:r w:rsidR="008F486D" w:rsidRPr="008A6002">
      <w:rPr>
        <w:rStyle w:val="Emphasis"/>
        <w:rFonts w:ascii="Helvetica" w:hAnsi="Helvetica" w:cs="Helvetica"/>
        <w:sz w:val="14"/>
        <w:szCs w:val="14"/>
        <w:shd w:val="clear" w:color="auto" w:fill="FFFFFF"/>
      </w:rPr>
      <w:t xml:space="preserve"> </w:t>
    </w:r>
    <w:proofErr w:type="spellStart"/>
    <w:r w:rsidR="008F486D" w:rsidRPr="008A6002">
      <w:rPr>
        <w:rStyle w:val="Emphasis"/>
        <w:rFonts w:ascii="Helvetica" w:hAnsi="Helvetica" w:cs="Helvetica"/>
        <w:sz w:val="14"/>
        <w:szCs w:val="14"/>
        <w:shd w:val="clear" w:color="auto" w:fill="FFFFFF"/>
      </w:rPr>
      <w:t>Chemie</w:t>
    </w:r>
    <w:proofErr w:type="spellEnd"/>
    <w:r w:rsidR="008F486D" w:rsidRPr="008A6002">
      <w:rPr>
        <w:rStyle w:val="Emphasis"/>
        <w:rFonts w:ascii="Helvetica" w:hAnsi="Helvetica" w:cs="Helvetica"/>
        <w:sz w:val="14"/>
        <w:szCs w:val="14"/>
        <w:shd w:val="clear" w:color="auto" w:fill="FFFFFF"/>
      </w:rPr>
      <w:t xml:space="preserve"> International Edition</w:t>
    </w:r>
    <w:r w:rsidR="008F486D" w:rsidRPr="008A6002">
      <w:rPr>
        <w:rFonts w:ascii="Helvetica" w:hAnsi="Helvetica" w:cs="Helvetica"/>
        <w:sz w:val="14"/>
        <w:szCs w:val="14"/>
        <w:shd w:val="clear" w:color="auto" w:fill="FFFFFF"/>
      </w:rPr>
      <w:t>, </w:t>
    </w:r>
    <w:r w:rsidR="008F486D" w:rsidRPr="008A6002">
      <w:rPr>
        <w:rStyle w:val="Strong"/>
        <w:rFonts w:ascii="Helvetica" w:hAnsi="Helvetica" w:cs="Helvetica"/>
        <w:sz w:val="14"/>
        <w:szCs w:val="14"/>
        <w:shd w:val="clear" w:color="auto" w:fill="FFFFFF"/>
      </w:rPr>
      <w:t>2018</w:t>
    </w:r>
    <w:r w:rsidR="008F486D" w:rsidRPr="008A6002">
      <w:rPr>
        <w:rFonts w:ascii="Helvetica" w:hAnsi="Helvetica" w:cs="Helvetica"/>
        <w:sz w:val="14"/>
        <w:szCs w:val="14"/>
        <w:shd w:val="clear" w:color="auto" w:fill="FFFFFF"/>
      </w:rPr>
      <w:t>, 57, 16109–16113.</w:t>
    </w:r>
    <w:r w:rsidRPr="008A6002">
      <w:rPr>
        <w:rFonts w:ascii="Helvetica" w:hAnsi="Helvetica" w:cs="Helvetica"/>
        <w:sz w:val="14"/>
        <w:szCs w:val="14"/>
        <w:shd w:val="clear" w:color="auto" w:fill="FFFFFF"/>
      </w:rPr>
      <w:t xml:space="preserve"> [3]</w:t>
    </w:r>
    <w:r w:rsidRPr="008A6002">
      <w:t xml:space="preserve"> </w:t>
    </w:r>
    <w:r w:rsidRPr="008A6002">
      <w:rPr>
        <w:rFonts w:ascii="Helvetica" w:hAnsi="Helvetica" w:cs="Helvetica"/>
        <w:i/>
        <w:iCs/>
        <w:sz w:val="14"/>
        <w:szCs w:val="14"/>
        <w:shd w:val="clear" w:color="auto" w:fill="FFFFFF"/>
      </w:rPr>
      <w:t>Structure</w:t>
    </w:r>
    <w:r w:rsidRPr="008A6002">
      <w:rPr>
        <w:rFonts w:ascii="Helvetica" w:hAnsi="Helvetica" w:cs="Helvetica"/>
        <w:sz w:val="14"/>
        <w:szCs w:val="14"/>
        <w:shd w:val="clear" w:color="auto" w:fill="FFFFFF"/>
      </w:rPr>
      <w:t xml:space="preserve">, 27(7), </w:t>
    </w:r>
    <w:r w:rsidRPr="000E3F91">
      <w:rPr>
        <w:rFonts w:ascii="Helvetica" w:hAnsi="Helvetica" w:cs="Helvetica"/>
        <w:sz w:val="14"/>
        <w:szCs w:val="14"/>
        <w:shd w:val="clear" w:color="auto" w:fill="FFFFFF"/>
      </w:rPr>
      <w:t>1137-1147.e5. [4</w:t>
    </w:r>
    <w:proofErr w:type="gramStart"/>
    <w:r w:rsidRPr="000E3F91">
      <w:rPr>
        <w:rFonts w:ascii="Helvetica" w:hAnsi="Helvetica" w:cs="Helvetica"/>
        <w:sz w:val="14"/>
        <w:szCs w:val="14"/>
        <w:shd w:val="clear" w:color="auto" w:fill="FFFFFF"/>
      </w:rPr>
      <w:t>]</w:t>
    </w:r>
    <w:r w:rsidRPr="008A6002">
      <w:rPr>
        <w:rFonts w:ascii="Helvetica" w:hAnsi="Helvetica" w:cs="Helvetica"/>
        <w:sz w:val="14"/>
        <w:szCs w:val="14"/>
        <w:shd w:val="clear" w:color="auto" w:fill="FFFFFF"/>
      </w:rPr>
      <w:t xml:space="preserve"> </w:t>
    </w:r>
    <w:r w:rsidR="008A6002" w:rsidRPr="008A6002">
      <w:t xml:space="preserve"> </w:t>
    </w:r>
    <w:r w:rsidR="008A6002" w:rsidRPr="008A6002">
      <w:rPr>
        <w:rFonts w:ascii="Helvetica" w:hAnsi="Helvetica" w:cs="Helvetica"/>
        <w:i/>
        <w:iCs/>
        <w:sz w:val="14"/>
        <w:szCs w:val="14"/>
        <w:shd w:val="clear" w:color="auto" w:fill="FFFFFF"/>
      </w:rPr>
      <w:t>Nature</w:t>
    </w:r>
    <w:proofErr w:type="gramEnd"/>
    <w:r w:rsidR="008A6002" w:rsidRPr="008A6002">
      <w:rPr>
        <w:rFonts w:ascii="Helvetica" w:hAnsi="Helvetica" w:cs="Helvetica"/>
        <w:i/>
        <w:iCs/>
        <w:sz w:val="14"/>
        <w:szCs w:val="14"/>
        <w:shd w:val="clear" w:color="auto" w:fill="FFFFFF"/>
      </w:rPr>
      <w:t xml:space="preserve"> Communications</w:t>
    </w:r>
    <w:r w:rsidR="008A6002" w:rsidRPr="008A6002">
      <w:rPr>
        <w:rFonts w:ascii="Helvetica" w:hAnsi="Helvetica" w:cs="Helvetica"/>
        <w:sz w:val="14"/>
        <w:szCs w:val="14"/>
        <w:shd w:val="clear" w:color="auto" w:fill="FFFFFF"/>
      </w:rPr>
      <w:t>, 10(1), 3084</w:t>
    </w:r>
    <w:r w:rsidR="008A6002">
      <w:rPr>
        <w:rFonts w:ascii="Helvetica" w:hAnsi="Helvetica" w:cs="Helvetica"/>
        <w:sz w:val="14"/>
        <w:szCs w:val="14"/>
        <w:shd w:val="clear" w:color="auto" w:fill="FFFFFF"/>
      </w:rPr>
      <w:t>. [5]</w:t>
    </w:r>
    <w:r w:rsidR="008A6002" w:rsidRPr="008A6002">
      <w:rPr>
        <w:rFonts w:ascii="Helvetica" w:hAnsi="Helvetica" w:cs="Helvetica"/>
        <w:i/>
        <w:iCs/>
        <w:sz w:val="14"/>
        <w:szCs w:val="14"/>
        <w:shd w:val="clear" w:color="auto" w:fill="FFFFFF"/>
      </w:rPr>
      <w:t xml:space="preserve"> Nature Communications</w:t>
    </w:r>
    <w:r w:rsidR="008A6002" w:rsidRPr="008A6002">
      <w:rPr>
        <w:rFonts w:ascii="Helvetica" w:hAnsi="Helvetica" w:cs="Helvetica"/>
        <w:b/>
        <w:bCs/>
        <w:sz w:val="14"/>
        <w:szCs w:val="14"/>
        <w:shd w:val="clear" w:color="auto" w:fill="FFFFFF"/>
      </w:rPr>
      <w:t xml:space="preserve"> </w:t>
    </w:r>
    <w:r w:rsidRPr="008A6002">
      <w:rPr>
        <w:rFonts w:ascii="Helvetica" w:hAnsi="Helvetica" w:cs="Helvetica"/>
        <w:b/>
        <w:bCs/>
        <w:sz w:val="14"/>
        <w:szCs w:val="14"/>
        <w:shd w:val="clear" w:color="auto" w:fill="FFFFFF"/>
      </w:rPr>
      <w:t>11, </w:t>
    </w:r>
    <w:r w:rsidRPr="008A6002">
      <w:rPr>
        <w:rFonts w:ascii="Helvetica" w:hAnsi="Helvetica" w:cs="Helvetica"/>
        <w:sz w:val="14"/>
        <w:szCs w:val="14"/>
        <w:shd w:val="clear" w:color="auto" w:fill="FFFFFF"/>
      </w:rPr>
      <w:t xml:space="preserve">1077 (2020). </w:t>
    </w:r>
    <w:r w:rsidR="00F11B91" w:rsidRPr="008A6002">
      <w:rPr>
        <w:rFonts w:ascii="Helvetica" w:hAnsi="Helvetica" w:cs="Helvetica"/>
        <w:sz w:val="14"/>
        <w:szCs w:val="14"/>
        <w:shd w:val="clear" w:color="auto" w:fill="FFFFFF"/>
      </w:rPr>
      <w:t>[</w:t>
    </w:r>
    <w:r w:rsidR="008A6002">
      <w:rPr>
        <w:rFonts w:ascii="Helvetica" w:hAnsi="Helvetica" w:cs="Helvetica"/>
        <w:sz w:val="14"/>
        <w:szCs w:val="14"/>
        <w:shd w:val="clear" w:color="auto" w:fill="FFFFFF"/>
      </w:rPr>
      <w:t>6</w:t>
    </w:r>
    <w:r w:rsidR="00F11B91" w:rsidRPr="008A6002">
      <w:rPr>
        <w:rFonts w:ascii="Helvetica" w:hAnsi="Helvetica" w:cs="Helvetica"/>
        <w:sz w:val="14"/>
        <w:szCs w:val="14"/>
        <w:shd w:val="clear" w:color="auto" w:fill="FFFFFF"/>
      </w:rPr>
      <w:t xml:space="preserve">] </w:t>
    </w:r>
    <w:r w:rsidR="00F11B91" w:rsidRPr="00542012">
      <w:rPr>
        <w:rFonts w:ascii="Helvetica" w:hAnsi="Helvetica" w:cs="Helvetica"/>
        <w:i/>
        <w:iCs/>
        <w:sz w:val="14"/>
        <w:szCs w:val="14"/>
        <w:shd w:val="clear" w:color="auto" w:fill="FFFFFF"/>
      </w:rPr>
      <w:t>Cell Reports</w:t>
    </w:r>
    <w:r w:rsidR="00F11B91" w:rsidRPr="008A6002">
      <w:rPr>
        <w:rFonts w:ascii="Helvetica" w:hAnsi="Helvetica" w:cs="Helvetica"/>
        <w:sz w:val="14"/>
        <w:szCs w:val="14"/>
        <w:shd w:val="clear" w:color="auto" w:fill="FFFFFF"/>
      </w:rPr>
      <w:t xml:space="preserve">, 30, 3699–3709, 2020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26671" w14:textId="77777777" w:rsidR="009A739A" w:rsidRDefault="009A739A" w:rsidP="008F486D">
      <w:pPr>
        <w:spacing w:after="0" w:line="240" w:lineRule="auto"/>
      </w:pPr>
      <w:r>
        <w:separator/>
      </w:r>
    </w:p>
  </w:footnote>
  <w:footnote w:type="continuationSeparator" w:id="0">
    <w:p w14:paraId="646BCE28" w14:textId="77777777" w:rsidR="009A739A" w:rsidRDefault="009A739A" w:rsidP="008F4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4E91C" w14:textId="1C01DF1E" w:rsidR="00C54EFE" w:rsidRDefault="00C54EFE">
    <w:pPr>
      <w:pStyle w:val="Header"/>
    </w:pPr>
    <w:r>
      <w:rPr>
        <w:b/>
        <w:bCs/>
      </w:rPr>
      <w:t xml:space="preserve">Decato TP1: </w:t>
    </w:r>
    <w:r w:rsidRPr="00C54EFE">
      <w:rPr>
        <w:b/>
        <w:bCs/>
      </w:rPr>
      <w:t xml:space="preserve">Enhancing Structural Sciences in the Rocky Mountain Northwest </w:t>
    </w:r>
    <w:bookmarkStart w:id="1" w:name="_Hlk68011629"/>
    <w:r w:rsidR="00FD2DF8" w:rsidRPr="00C54EFE">
      <w:rPr>
        <w:b/>
        <w:bCs/>
      </w:rPr>
      <w:t>Thr</w:t>
    </w:r>
    <w:r w:rsidR="00FD2DF8">
      <w:rPr>
        <w:b/>
        <w:bCs/>
      </w:rPr>
      <w:t>o</w:t>
    </w:r>
    <w:r w:rsidR="00FD2DF8" w:rsidRPr="00C54EFE">
      <w:rPr>
        <w:b/>
        <w:bCs/>
      </w:rPr>
      <w:t>ugh</w:t>
    </w:r>
    <w:bookmarkEnd w:id="1"/>
    <w:r w:rsidRPr="00C54EFE">
      <w:rPr>
        <w:b/>
        <w:bCs/>
      </w:rPr>
      <w:t xml:space="preserve"> </w:t>
    </w:r>
    <w:bookmarkStart w:id="2" w:name="_Hlk66262333"/>
    <w:r w:rsidRPr="00C54EFE">
      <w:rPr>
        <w:b/>
        <w:bCs/>
      </w:rPr>
      <w:t xml:space="preserve">Microcrystal Electron Diffraction </w:t>
    </w:r>
    <w:bookmarkEnd w:id="2"/>
    <w:r w:rsidRPr="00C54EFE">
      <w:rPr>
        <w:b/>
        <w:bCs/>
      </w:rPr>
      <w:t>(</w:t>
    </w:r>
    <w:proofErr w:type="spellStart"/>
    <w:r w:rsidRPr="00C54EFE">
      <w:rPr>
        <w:b/>
        <w:bCs/>
      </w:rPr>
      <w:t>MicroED</w:t>
    </w:r>
    <w:proofErr w:type="spellEnd"/>
    <w:r w:rsidRPr="00C54EFE">
      <w:rPr>
        <w:b/>
        <w:bCs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327ACD"/>
    <w:multiLevelType w:val="hybridMultilevel"/>
    <w:tmpl w:val="0874A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5E36B3"/>
    <w:multiLevelType w:val="hybridMultilevel"/>
    <w:tmpl w:val="5D760BCE"/>
    <w:lvl w:ilvl="0" w:tplc="EE20EF48">
      <w:start w:val="1"/>
      <w:numFmt w:val="decimal"/>
      <w:suff w:val="space"/>
      <w:lvlText w:val="%1."/>
      <w:lvlJc w:val="left"/>
      <w:pPr>
        <w:ind w:left="0" w:firstLine="0"/>
      </w:pPr>
      <w:rPr>
        <w:rFonts w:ascii="Helvetica" w:hAnsi="Helvetica" w:cs="Helvetica" w:hint="default"/>
        <w:i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E3A"/>
    <w:rsid w:val="00013465"/>
    <w:rsid w:val="00091677"/>
    <w:rsid w:val="000D4366"/>
    <w:rsid w:val="000E3F91"/>
    <w:rsid w:val="000F24B6"/>
    <w:rsid w:val="001023C5"/>
    <w:rsid w:val="001706AA"/>
    <w:rsid w:val="00184A0D"/>
    <w:rsid w:val="00193A5C"/>
    <w:rsid w:val="001A2AE2"/>
    <w:rsid w:val="001F7946"/>
    <w:rsid w:val="0021269E"/>
    <w:rsid w:val="00274D04"/>
    <w:rsid w:val="002C48CF"/>
    <w:rsid w:val="002D6DB7"/>
    <w:rsid w:val="002D7DD1"/>
    <w:rsid w:val="00320D34"/>
    <w:rsid w:val="003315C4"/>
    <w:rsid w:val="00464AA3"/>
    <w:rsid w:val="004871B8"/>
    <w:rsid w:val="004F3AC1"/>
    <w:rsid w:val="00542012"/>
    <w:rsid w:val="00550E3A"/>
    <w:rsid w:val="005526A8"/>
    <w:rsid w:val="005907EA"/>
    <w:rsid w:val="005F7614"/>
    <w:rsid w:val="006064E1"/>
    <w:rsid w:val="00643739"/>
    <w:rsid w:val="006461B7"/>
    <w:rsid w:val="0064745F"/>
    <w:rsid w:val="006634BD"/>
    <w:rsid w:val="00672A3A"/>
    <w:rsid w:val="00704A99"/>
    <w:rsid w:val="00723EB9"/>
    <w:rsid w:val="00774A46"/>
    <w:rsid w:val="00777B88"/>
    <w:rsid w:val="007A7885"/>
    <w:rsid w:val="007B65AD"/>
    <w:rsid w:val="007F34F7"/>
    <w:rsid w:val="00826F93"/>
    <w:rsid w:val="008373BD"/>
    <w:rsid w:val="00845898"/>
    <w:rsid w:val="0085041D"/>
    <w:rsid w:val="0089573C"/>
    <w:rsid w:val="008A6002"/>
    <w:rsid w:val="008F39E4"/>
    <w:rsid w:val="008F486D"/>
    <w:rsid w:val="009A739A"/>
    <w:rsid w:val="00A06378"/>
    <w:rsid w:val="00A41D03"/>
    <w:rsid w:val="00A4317F"/>
    <w:rsid w:val="00A56271"/>
    <w:rsid w:val="00AA5BEB"/>
    <w:rsid w:val="00AC15D0"/>
    <w:rsid w:val="00B37C42"/>
    <w:rsid w:val="00B87D5B"/>
    <w:rsid w:val="00BF2F01"/>
    <w:rsid w:val="00C250B4"/>
    <w:rsid w:val="00C54EFE"/>
    <w:rsid w:val="00CA1B7D"/>
    <w:rsid w:val="00CB4B25"/>
    <w:rsid w:val="00CD139E"/>
    <w:rsid w:val="00CE0D06"/>
    <w:rsid w:val="00CE0D9D"/>
    <w:rsid w:val="00CE74CB"/>
    <w:rsid w:val="00D26C75"/>
    <w:rsid w:val="00D411F3"/>
    <w:rsid w:val="00D51F27"/>
    <w:rsid w:val="00D57F97"/>
    <w:rsid w:val="00D65F06"/>
    <w:rsid w:val="00DC158B"/>
    <w:rsid w:val="00E23CC3"/>
    <w:rsid w:val="00E34410"/>
    <w:rsid w:val="00E82CCD"/>
    <w:rsid w:val="00EA35AF"/>
    <w:rsid w:val="00ED4FAB"/>
    <w:rsid w:val="00ED5AE5"/>
    <w:rsid w:val="00EF16DC"/>
    <w:rsid w:val="00F11B91"/>
    <w:rsid w:val="00F438E7"/>
    <w:rsid w:val="00F55F21"/>
    <w:rsid w:val="00F84866"/>
    <w:rsid w:val="00F86B17"/>
    <w:rsid w:val="00FA0E9A"/>
    <w:rsid w:val="00FD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CF2F6"/>
  <w15:chartTrackingRefBased/>
  <w15:docId w15:val="{00E0D34E-4C0F-4951-BB13-605D0D355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50E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0E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0E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E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0E3A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23CC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F4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86D"/>
  </w:style>
  <w:style w:type="paragraph" w:styleId="Footer">
    <w:name w:val="footer"/>
    <w:basedOn w:val="Normal"/>
    <w:link w:val="FooterChar"/>
    <w:uiPriority w:val="99"/>
    <w:unhideWhenUsed/>
    <w:rsid w:val="008F4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86D"/>
  </w:style>
  <w:style w:type="character" w:styleId="Emphasis">
    <w:name w:val="Emphasis"/>
    <w:basedOn w:val="DefaultParagraphFont"/>
    <w:uiPriority w:val="20"/>
    <w:qFormat/>
    <w:rsid w:val="008F486D"/>
    <w:rPr>
      <w:i/>
      <w:iCs/>
    </w:rPr>
  </w:style>
  <w:style w:type="character" w:styleId="Strong">
    <w:name w:val="Strong"/>
    <w:basedOn w:val="DefaultParagraphFont"/>
    <w:uiPriority w:val="22"/>
    <w:qFormat/>
    <w:rsid w:val="008F48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Decato, Daniel</dc:creator>
  <cp:keywords/>
  <dc:description/>
  <cp:lastModifiedBy>Decato, Daniel</cp:lastModifiedBy>
  <cp:revision>2</cp:revision>
  <dcterms:created xsi:type="dcterms:W3CDTF">2021-03-31T02:01:00Z</dcterms:created>
  <dcterms:modified xsi:type="dcterms:W3CDTF">2021-03-31T02:01:00Z</dcterms:modified>
</cp:coreProperties>
</file>