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A50A8B">
      <w:pPr>
        <w:pStyle w:val="OMBInfo"/>
      </w:pPr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35471EA5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4A199B">
        <w:rPr>
          <w:sz w:val="22"/>
        </w:rPr>
        <w:t>Radhika Malik</w:t>
      </w:r>
    </w:p>
    <w:p w14:paraId="7FFF41C1" w14:textId="771DA57B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  <w:proofErr w:type="spellStart"/>
      <w:r w:rsidR="00A51606">
        <w:rPr>
          <w:sz w:val="22"/>
        </w:rPr>
        <w:t>rha</w:t>
      </w:r>
      <w:r w:rsidR="00063BAF">
        <w:rPr>
          <w:sz w:val="22"/>
        </w:rPr>
        <w:t>dika</w:t>
      </w:r>
      <w:proofErr w:type="spellEnd"/>
    </w:p>
    <w:p w14:paraId="74873D9A" w14:textId="356D1839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4A199B">
        <w:rPr>
          <w:sz w:val="22"/>
        </w:rPr>
        <w:t xml:space="preserve"> Research Assistant Professor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0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530"/>
        <w:gridCol w:w="1710"/>
        <w:gridCol w:w="2340"/>
      </w:tblGrid>
      <w:tr w:rsidR="009C41A3" w:rsidRPr="00D3779E" w14:paraId="21BBC1F3" w14:textId="77777777" w:rsidTr="009C41A3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C41A3" w:rsidRPr="00D3779E" w14:paraId="5CD50646" w14:textId="77777777" w:rsidTr="009C41A3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7391AEFF" w14:textId="77777777" w:rsidR="0093317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Stephen’s College, University of Delhi, India</w:t>
            </w:r>
          </w:p>
          <w:p w14:paraId="5A029207" w14:textId="77777777" w:rsidR="00160C8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3B0C531B" w14:textId="068B8FF4" w:rsidR="00160C83" w:rsidRPr="00977FA5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Stephen’s College, University of De</w:t>
            </w:r>
            <w:r w:rsidR="00B84DA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hi, India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118980" w14:textId="5CDDEBED" w:rsidR="00933173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</w:t>
            </w:r>
            <w:r w:rsidR="00CF7299">
              <w:rPr>
                <w:sz w:val="22"/>
                <w:szCs w:val="22"/>
              </w:rPr>
              <w:t>c</w:t>
            </w:r>
          </w:p>
          <w:p w14:paraId="19DE7B79" w14:textId="77777777" w:rsidR="00160C83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  <w:p w14:paraId="62DD05C1" w14:textId="1C9F2D1B" w:rsidR="00160C83" w:rsidRPr="00977FA5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  <w:r w:rsidR="00CF7299">
              <w:rPr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03E130B" w14:textId="77777777" w:rsidR="00933173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05/2001</w:t>
            </w:r>
          </w:p>
          <w:p w14:paraId="635BE874" w14:textId="77777777" w:rsidR="00160C83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  <w:p w14:paraId="543299E0" w14:textId="57F188EC" w:rsidR="00160C83" w:rsidRPr="00977FA5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05/2003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81EBD51" w14:textId="77777777" w:rsidR="0093317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Chemistry</w:t>
            </w:r>
          </w:p>
          <w:p w14:paraId="2250C326" w14:textId="77777777" w:rsidR="00160C8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7BC5582F" w14:textId="0322E49E" w:rsidR="00160C83" w:rsidRPr="00977FA5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Organic Chemist</w:t>
            </w:r>
            <w:r w:rsidR="00A71885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</w:tr>
      <w:tr w:rsidR="009C41A3" w:rsidRPr="00D3779E" w14:paraId="1515F345" w14:textId="77777777" w:rsidTr="009C41A3">
        <w:trPr>
          <w:cantSplit/>
          <w:trHeight w:val="1134"/>
        </w:trPr>
        <w:tc>
          <w:tcPr>
            <w:tcW w:w="5220" w:type="dxa"/>
          </w:tcPr>
          <w:p w14:paraId="105D618E" w14:textId="77777777" w:rsidR="00933173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7DED23E7" w14:textId="663D3E57" w:rsidR="00160C83" w:rsidRPr="00977FA5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University of Toledo, Toledo, Ohio, US</w:t>
            </w:r>
          </w:p>
        </w:tc>
        <w:tc>
          <w:tcPr>
            <w:tcW w:w="1530" w:type="dxa"/>
          </w:tcPr>
          <w:p w14:paraId="568D8B03" w14:textId="77777777" w:rsidR="00933173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  <w:p w14:paraId="0D874BFC" w14:textId="1DAC8C73" w:rsidR="00160C83" w:rsidRPr="00977FA5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 D.</w:t>
            </w:r>
          </w:p>
        </w:tc>
        <w:tc>
          <w:tcPr>
            <w:tcW w:w="1710" w:type="dxa"/>
          </w:tcPr>
          <w:p w14:paraId="4B496337" w14:textId="77777777" w:rsidR="00933173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  <w:p w14:paraId="1A7AA7CA" w14:textId="3F035D7B" w:rsidR="00160C83" w:rsidRPr="00977FA5" w:rsidRDefault="00160C8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12/2009</w:t>
            </w:r>
          </w:p>
        </w:tc>
        <w:tc>
          <w:tcPr>
            <w:tcW w:w="2340" w:type="dxa"/>
          </w:tcPr>
          <w:p w14:paraId="65860678" w14:textId="77777777" w:rsidR="00933173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00D2BE79" w14:textId="77777777" w:rsidR="00160C8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Biochemistry and </w:t>
            </w:r>
          </w:p>
          <w:p w14:paraId="2E917319" w14:textId="77777777" w:rsidR="00160C8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Structural Biology</w:t>
            </w:r>
          </w:p>
          <w:p w14:paraId="4CC74E5C" w14:textId="529B3BFF" w:rsidR="00160C83" w:rsidRPr="00977FA5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C41A3" w:rsidRPr="00D3779E" w14:paraId="51E27C1C" w14:textId="77777777" w:rsidTr="009C41A3">
        <w:trPr>
          <w:cantSplit/>
          <w:trHeight w:val="1161"/>
        </w:trPr>
        <w:tc>
          <w:tcPr>
            <w:tcW w:w="5220" w:type="dxa"/>
          </w:tcPr>
          <w:p w14:paraId="43946D16" w14:textId="77777777" w:rsidR="00933173" w:rsidRDefault="00160C8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Icahn School of Medicine at Mount Sinai, New York, New York, US</w:t>
            </w:r>
          </w:p>
          <w:p w14:paraId="66BC8FF0" w14:textId="6381D876" w:rsidR="0041238D" w:rsidRPr="00977FA5" w:rsidRDefault="0041238D" w:rsidP="009C41A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7AA3B80" w14:textId="77777777" w:rsidR="00933173" w:rsidRDefault="00160C83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Postdoctoral</w:t>
            </w:r>
          </w:p>
          <w:p w14:paraId="5B9952CC" w14:textId="77777777" w:rsidR="0041238D" w:rsidRDefault="0041238D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240A550C" w14:textId="77777777" w:rsidR="0041238D" w:rsidRDefault="0041238D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6AEADABA" w14:textId="01D3F891" w:rsidR="0041238D" w:rsidRPr="00977FA5" w:rsidRDefault="0041238D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F1FF84A" w14:textId="275EABAC" w:rsidR="00933173" w:rsidRDefault="00160C83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4559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06/2016</w:t>
            </w:r>
          </w:p>
          <w:p w14:paraId="11D11A6C" w14:textId="77777777" w:rsidR="0041238D" w:rsidRDefault="0041238D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1DEF6E6A" w14:textId="77777777" w:rsidR="0041238D" w:rsidRDefault="0041238D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4ED60B07" w14:textId="203C9B7B" w:rsidR="0041238D" w:rsidRPr="00977FA5" w:rsidRDefault="0041238D" w:rsidP="00160C8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CB6FAF6" w14:textId="3E34B538" w:rsidR="00933173" w:rsidRDefault="009C41A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60C83">
              <w:rPr>
                <w:sz w:val="22"/>
                <w:szCs w:val="22"/>
              </w:rPr>
              <w:t>Structural Biology</w:t>
            </w:r>
          </w:p>
          <w:p w14:paraId="5C77D89B" w14:textId="77777777" w:rsidR="0041238D" w:rsidRDefault="0041238D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  <w:p w14:paraId="2303550C" w14:textId="43E53E1D" w:rsidR="0041238D" w:rsidRPr="00977FA5" w:rsidRDefault="0041238D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18EDA542" w14:textId="72749898" w:rsidR="009C41A3" w:rsidRDefault="009C41A3" w:rsidP="007B7C91">
      <w:pPr>
        <w:pStyle w:val="DataField11pt-Single"/>
        <w:numPr>
          <w:ilvl w:val="0"/>
          <w:numId w:val="33"/>
        </w:numPr>
        <w:rPr>
          <w:rStyle w:val="Strong"/>
        </w:rPr>
      </w:pPr>
      <w:r>
        <w:rPr>
          <w:rStyle w:val="Strong"/>
        </w:rPr>
        <w:t>Personal Statement</w:t>
      </w:r>
    </w:p>
    <w:p w14:paraId="26994022" w14:textId="77777777" w:rsidR="0041238D" w:rsidRPr="0027095C" w:rsidRDefault="0041238D" w:rsidP="0041238D">
      <w:pPr>
        <w:pStyle w:val="DataField11pt-Single"/>
        <w:ind w:left="720"/>
        <w:rPr>
          <w:rStyle w:val="Strong"/>
          <w:b w:val="0"/>
        </w:rPr>
      </w:pPr>
    </w:p>
    <w:p w14:paraId="00977992" w14:textId="37D669B1" w:rsidR="002C51BC" w:rsidRPr="00725DDF" w:rsidRDefault="0027095C" w:rsidP="006E24AC">
      <w:pPr>
        <w:pStyle w:val="DataField11pt-Single"/>
        <w:jc w:val="both"/>
        <w:rPr>
          <w:rStyle w:val="Strong"/>
          <w:b w:val="0"/>
        </w:rPr>
      </w:pPr>
      <w:r>
        <w:rPr>
          <w:rStyle w:val="Strong"/>
          <w:b w:val="0"/>
        </w:rPr>
        <w:t>I have a broad background in the area of structural biology, with specific trainin</w:t>
      </w:r>
      <w:r w:rsidR="004E2A27">
        <w:rPr>
          <w:rStyle w:val="Strong"/>
          <w:b w:val="0"/>
        </w:rPr>
        <w:t>g in the area</w:t>
      </w:r>
      <w:r w:rsidR="00FC22DE">
        <w:rPr>
          <w:rStyle w:val="Strong"/>
          <w:b w:val="0"/>
        </w:rPr>
        <w:t>s</w:t>
      </w:r>
      <w:r w:rsidR="004E2A27">
        <w:rPr>
          <w:rStyle w:val="Strong"/>
          <w:b w:val="0"/>
        </w:rPr>
        <w:t xml:space="preserve"> of Electron M</w:t>
      </w:r>
      <w:r>
        <w:rPr>
          <w:rStyle w:val="Strong"/>
          <w:b w:val="0"/>
        </w:rPr>
        <w:t xml:space="preserve">icroscopy and X-ray crystallography. </w:t>
      </w:r>
      <w:r w:rsidR="004E2A27">
        <w:rPr>
          <w:rStyle w:val="Strong"/>
          <w:b w:val="0"/>
        </w:rPr>
        <w:t>In addition</w:t>
      </w:r>
      <w:r w:rsidR="00725DDF">
        <w:rPr>
          <w:rStyle w:val="Strong"/>
          <w:b w:val="0"/>
        </w:rPr>
        <w:t xml:space="preserve">, I have received tremendous amount of training on the structural studies of multi-subunit protein complexes. I have successfully collaborated with </w:t>
      </w:r>
      <w:r w:rsidR="00D76EC8">
        <w:rPr>
          <w:rStyle w:val="Strong"/>
          <w:b w:val="0"/>
        </w:rPr>
        <w:t>number of researchers</w:t>
      </w:r>
      <w:r w:rsidR="009A1B96">
        <w:rPr>
          <w:rStyle w:val="Strong"/>
          <w:b w:val="0"/>
        </w:rPr>
        <w:t xml:space="preserve"> on recent </w:t>
      </w:r>
      <w:r w:rsidR="00D76EC8">
        <w:rPr>
          <w:rStyle w:val="Strong"/>
          <w:b w:val="0"/>
        </w:rPr>
        <w:t>and upcoming publications in the field</w:t>
      </w:r>
      <w:r w:rsidR="00FC22DE">
        <w:rPr>
          <w:rStyle w:val="Strong"/>
          <w:b w:val="0"/>
        </w:rPr>
        <w:t>s</w:t>
      </w:r>
      <w:r w:rsidR="00400277">
        <w:rPr>
          <w:rStyle w:val="Strong"/>
          <w:b w:val="0"/>
        </w:rPr>
        <w:t xml:space="preserve"> of DNA repair and replication. In the past, </w:t>
      </w:r>
      <w:r w:rsidR="00D76EC8">
        <w:rPr>
          <w:rStyle w:val="Strong"/>
          <w:b w:val="0"/>
        </w:rPr>
        <w:t xml:space="preserve">I have demonstrated my ability to work on a variety of projects including structural </w:t>
      </w:r>
      <w:r w:rsidR="005C5D86">
        <w:rPr>
          <w:rStyle w:val="Strong"/>
          <w:b w:val="0"/>
        </w:rPr>
        <w:t xml:space="preserve">and biochemical </w:t>
      </w:r>
      <w:r w:rsidR="00D76EC8">
        <w:rPr>
          <w:rStyle w:val="Strong"/>
          <w:b w:val="0"/>
        </w:rPr>
        <w:t>work on proteins involved in brain disease as well as metabolic function.</w:t>
      </w:r>
      <w:r w:rsidR="008132AC">
        <w:rPr>
          <w:rStyle w:val="Strong"/>
          <w:b w:val="0"/>
        </w:rPr>
        <w:t xml:space="preserve"> </w:t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6E949723" w14:textId="2D00602C" w:rsidR="00725DDF" w:rsidRDefault="007B6E97" w:rsidP="007B7C91">
      <w:pPr>
        <w:pStyle w:val="DataField11pt-Single"/>
        <w:numPr>
          <w:ilvl w:val="0"/>
          <w:numId w:val="33"/>
        </w:numPr>
        <w:rPr>
          <w:rStyle w:val="Strong"/>
        </w:rPr>
      </w:pPr>
      <w:r>
        <w:rPr>
          <w:rStyle w:val="Strong"/>
        </w:rPr>
        <w:t>Positions</w:t>
      </w:r>
      <w:r w:rsidR="007B7C91">
        <w:rPr>
          <w:rStyle w:val="Strong"/>
        </w:rPr>
        <w:t xml:space="preserve"> and Honors</w:t>
      </w:r>
    </w:p>
    <w:p w14:paraId="0B3452A6" w14:textId="77777777" w:rsidR="007B7C91" w:rsidRDefault="007B7C91" w:rsidP="007B7C91">
      <w:pPr>
        <w:pStyle w:val="DataField11pt-Single"/>
        <w:rPr>
          <w:rStyle w:val="Strong"/>
        </w:rPr>
      </w:pPr>
    </w:p>
    <w:p w14:paraId="24BAA4EB" w14:textId="275595ED" w:rsidR="007B7C91" w:rsidRPr="00581D57" w:rsidRDefault="007B7C91" w:rsidP="007B7C91">
      <w:pPr>
        <w:pStyle w:val="DataField11pt-Single"/>
        <w:rPr>
          <w:rStyle w:val="Strong"/>
          <w:u w:val="single"/>
        </w:rPr>
      </w:pPr>
      <w:r w:rsidRPr="00581D57">
        <w:rPr>
          <w:rStyle w:val="Strong"/>
          <w:u w:val="single"/>
        </w:rPr>
        <w:t>Positions and Employment</w:t>
      </w:r>
    </w:p>
    <w:p w14:paraId="76F9B243" w14:textId="77777777" w:rsidR="007845D0" w:rsidRDefault="007845D0" w:rsidP="00725DDF">
      <w:pPr>
        <w:pStyle w:val="DataField11pt-Single"/>
        <w:rPr>
          <w:rStyle w:val="Strong"/>
        </w:rPr>
      </w:pPr>
    </w:p>
    <w:p w14:paraId="6482ED82" w14:textId="6438A81A" w:rsidR="00925C11" w:rsidRDefault="00725DDF" w:rsidP="00725DDF">
      <w:pPr>
        <w:pStyle w:val="DataField11pt-Single"/>
        <w:rPr>
          <w:rStyle w:val="Strong"/>
          <w:b w:val="0"/>
        </w:rPr>
      </w:pPr>
      <w:r w:rsidRPr="00725DDF">
        <w:rPr>
          <w:rStyle w:val="Strong"/>
          <w:b w:val="0"/>
        </w:rPr>
        <w:t>201</w:t>
      </w:r>
      <w:r w:rsidR="00925C11">
        <w:rPr>
          <w:rStyle w:val="Strong"/>
          <w:b w:val="0"/>
        </w:rPr>
        <w:t xml:space="preserve">6-2018  </w:t>
      </w:r>
      <w:r>
        <w:rPr>
          <w:rStyle w:val="Strong"/>
          <w:b w:val="0"/>
        </w:rPr>
        <w:t xml:space="preserve">Instructor, Department of Pharmacological Sciences, </w:t>
      </w:r>
      <w:r w:rsidR="00925C11">
        <w:rPr>
          <w:rStyle w:val="Strong"/>
          <w:b w:val="0"/>
        </w:rPr>
        <w:t xml:space="preserve">Icahn School of Medicine at Mount Sinai, </w:t>
      </w:r>
    </w:p>
    <w:p w14:paraId="355CA314" w14:textId="2EAC14BD" w:rsidR="00925C11" w:rsidRDefault="00925C11" w:rsidP="00725DDF">
      <w:pPr>
        <w:pStyle w:val="DataField11pt-Single"/>
        <w:rPr>
          <w:rStyle w:val="Strong"/>
          <w:b w:val="0"/>
        </w:rPr>
      </w:pPr>
      <w:r>
        <w:rPr>
          <w:rStyle w:val="Strong"/>
          <w:b w:val="0"/>
        </w:rPr>
        <w:t xml:space="preserve">                   New York, NY</w:t>
      </w:r>
    </w:p>
    <w:p w14:paraId="2B8BEC9F" w14:textId="77777777" w:rsidR="00925C11" w:rsidRDefault="00925C11" w:rsidP="00725DDF">
      <w:pPr>
        <w:pStyle w:val="DataField11pt-Single"/>
        <w:rPr>
          <w:rStyle w:val="Strong"/>
          <w:b w:val="0"/>
        </w:rPr>
      </w:pPr>
      <w:r>
        <w:rPr>
          <w:rStyle w:val="Strong"/>
          <w:b w:val="0"/>
        </w:rPr>
        <w:t xml:space="preserve">2018-         Research Assistant Professor, Department of Pharmacological Sciences, Icahn School of Medicine </w:t>
      </w:r>
    </w:p>
    <w:p w14:paraId="0FEBD14F" w14:textId="77777777" w:rsidR="007B6E97" w:rsidRDefault="00925C11" w:rsidP="00725DDF">
      <w:pPr>
        <w:pStyle w:val="DataField11pt-Single"/>
        <w:rPr>
          <w:rStyle w:val="Strong"/>
          <w:b w:val="0"/>
        </w:rPr>
      </w:pPr>
      <w:r>
        <w:rPr>
          <w:rStyle w:val="Strong"/>
          <w:b w:val="0"/>
        </w:rPr>
        <w:t xml:space="preserve">                   at Mount Sinai, New York, NY</w:t>
      </w:r>
    </w:p>
    <w:p w14:paraId="7C303F14" w14:textId="77777777" w:rsidR="007B7C91" w:rsidRDefault="007B7C91" w:rsidP="00725DDF">
      <w:pPr>
        <w:pStyle w:val="DataField11pt-Single"/>
        <w:rPr>
          <w:rStyle w:val="Strong"/>
          <w:b w:val="0"/>
        </w:rPr>
      </w:pPr>
    </w:p>
    <w:p w14:paraId="03530D82" w14:textId="3C4D4A82" w:rsidR="00883A9B" w:rsidRPr="00581D57" w:rsidRDefault="007B7C91" w:rsidP="007B7C91">
      <w:pPr>
        <w:pStyle w:val="DataField11pt-Single"/>
        <w:rPr>
          <w:rStyle w:val="Strong"/>
          <w:u w:val="single"/>
        </w:rPr>
      </w:pPr>
      <w:r w:rsidRPr="00581D57">
        <w:rPr>
          <w:rStyle w:val="Strong"/>
          <w:b w:val="0"/>
          <w:u w:val="single"/>
        </w:rPr>
        <w:t xml:space="preserve"> </w:t>
      </w:r>
      <w:r w:rsidRPr="00581D57">
        <w:rPr>
          <w:rStyle w:val="Strong"/>
          <w:u w:val="single"/>
        </w:rPr>
        <w:t xml:space="preserve">Honors and Awards </w:t>
      </w:r>
    </w:p>
    <w:p w14:paraId="33E383A7" w14:textId="77777777" w:rsidR="007845D0" w:rsidRDefault="007845D0" w:rsidP="007845D0">
      <w:pPr>
        <w:pStyle w:val="DataField11pt-Single"/>
        <w:ind w:left="360"/>
        <w:rPr>
          <w:rStyle w:val="Strong"/>
        </w:rPr>
      </w:pPr>
    </w:p>
    <w:p w14:paraId="3A3E7BB4" w14:textId="64E7C82F" w:rsidR="007845D0" w:rsidRDefault="007845D0" w:rsidP="007845D0">
      <w:pPr>
        <w:widowControl w:val="0"/>
        <w:tabs>
          <w:tab w:val="left" w:pos="220"/>
          <w:tab w:val="left" w:pos="720"/>
        </w:tabs>
        <w:adjustRightInd w:val="0"/>
        <w:spacing w:line="0" w:lineRule="atLeast"/>
        <w:rPr>
          <w:rFonts w:cs="Tahoma"/>
          <w:color w:val="000000"/>
          <w:szCs w:val="32"/>
        </w:rPr>
      </w:pPr>
      <w:r w:rsidRPr="007845D0">
        <w:rPr>
          <w:rStyle w:val="Strong"/>
          <w:b w:val="0"/>
        </w:rPr>
        <w:t xml:space="preserve">2003        </w:t>
      </w:r>
      <w:r w:rsidRPr="007845D0">
        <w:rPr>
          <w:rFonts w:cs="Tahoma"/>
          <w:color w:val="000000"/>
          <w:szCs w:val="32"/>
        </w:rPr>
        <w:t xml:space="preserve">Graduate Aptitude test in Engineering (GATE) certificate, Indian Institute of </w:t>
      </w:r>
      <w:r>
        <w:rPr>
          <w:rFonts w:cs="Tahoma"/>
          <w:color w:val="000000"/>
          <w:szCs w:val="32"/>
        </w:rPr>
        <w:t>Technology (IIT)</w:t>
      </w:r>
    </w:p>
    <w:p w14:paraId="69B880BA" w14:textId="107CA98D" w:rsidR="007845D0" w:rsidRDefault="007845D0" w:rsidP="007845D0">
      <w:pPr>
        <w:widowControl w:val="0"/>
        <w:tabs>
          <w:tab w:val="left" w:pos="220"/>
          <w:tab w:val="left" w:pos="720"/>
        </w:tabs>
        <w:adjustRightInd w:val="0"/>
        <w:spacing w:line="0" w:lineRule="atLeast"/>
        <w:rPr>
          <w:rFonts w:cs="Tahoma"/>
          <w:color w:val="000000"/>
          <w:szCs w:val="32"/>
        </w:rPr>
      </w:pPr>
      <w:r>
        <w:rPr>
          <w:rFonts w:cs="Tahoma"/>
          <w:color w:val="000000"/>
          <w:szCs w:val="32"/>
        </w:rPr>
        <w:t xml:space="preserve">2009        </w:t>
      </w:r>
      <w:r w:rsidRPr="007845D0">
        <w:rPr>
          <w:rFonts w:cs="Tahoma"/>
          <w:color w:val="000000"/>
          <w:szCs w:val="32"/>
        </w:rPr>
        <w:t>Graduate and Postdoctoral Travel award, ASBMB</w:t>
      </w:r>
    </w:p>
    <w:p w14:paraId="1981440B" w14:textId="5F4DF619" w:rsidR="007845D0" w:rsidRDefault="007845D0" w:rsidP="007845D0">
      <w:pPr>
        <w:widowControl w:val="0"/>
        <w:tabs>
          <w:tab w:val="left" w:pos="220"/>
          <w:tab w:val="left" w:pos="720"/>
        </w:tabs>
        <w:adjustRightInd w:val="0"/>
        <w:spacing w:line="0" w:lineRule="atLeast"/>
        <w:rPr>
          <w:rFonts w:cs="Tahoma"/>
          <w:color w:val="000000"/>
          <w:szCs w:val="32"/>
        </w:rPr>
      </w:pPr>
      <w:r>
        <w:rPr>
          <w:rFonts w:cs="Tahoma"/>
          <w:color w:val="000000"/>
          <w:szCs w:val="32"/>
        </w:rPr>
        <w:t xml:space="preserve">2013        </w:t>
      </w:r>
      <w:r w:rsidRPr="007845D0">
        <w:rPr>
          <w:rFonts w:cs="Tahoma"/>
          <w:color w:val="000000"/>
          <w:szCs w:val="32"/>
        </w:rPr>
        <w:t>Travel Award, Neu</w:t>
      </w:r>
      <w:r>
        <w:rPr>
          <w:rFonts w:cs="Tahoma"/>
          <w:color w:val="000000"/>
          <w:szCs w:val="32"/>
        </w:rPr>
        <w:t>tron Science Directorate (ORNL)</w:t>
      </w:r>
    </w:p>
    <w:p w14:paraId="4CB42308" w14:textId="6599B8BF" w:rsidR="007845D0" w:rsidRDefault="007845D0" w:rsidP="007845D0">
      <w:pPr>
        <w:widowControl w:val="0"/>
        <w:tabs>
          <w:tab w:val="left" w:pos="220"/>
          <w:tab w:val="left" w:pos="720"/>
        </w:tabs>
        <w:adjustRightInd w:val="0"/>
        <w:spacing w:line="0" w:lineRule="atLeast"/>
        <w:rPr>
          <w:rFonts w:cs="Tahoma"/>
          <w:color w:val="000000"/>
          <w:szCs w:val="32"/>
        </w:rPr>
      </w:pPr>
      <w:r>
        <w:rPr>
          <w:rFonts w:cs="Tahoma"/>
          <w:color w:val="000000"/>
          <w:szCs w:val="32"/>
        </w:rPr>
        <w:t xml:space="preserve">2013        </w:t>
      </w:r>
      <w:r w:rsidRPr="007845D0">
        <w:rPr>
          <w:rFonts w:cs="Tahoma"/>
          <w:color w:val="000000"/>
          <w:szCs w:val="32"/>
        </w:rPr>
        <w:t>N</w:t>
      </w:r>
      <w:r>
        <w:rPr>
          <w:rFonts w:cs="Tahoma"/>
          <w:color w:val="000000"/>
          <w:szCs w:val="32"/>
        </w:rPr>
        <w:t>ew York Academy of Sciences (NYAS)</w:t>
      </w:r>
      <w:r w:rsidRPr="007845D0">
        <w:rPr>
          <w:rFonts w:cs="Tahoma"/>
          <w:color w:val="000000"/>
          <w:szCs w:val="32"/>
        </w:rPr>
        <w:t xml:space="preserve"> scholarship, Icahn Sc</w:t>
      </w:r>
      <w:r>
        <w:rPr>
          <w:rFonts w:cs="Tahoma"/>
          <w:color w:val="000000"/>
          <w:szCs w:val="32"/>
        </w:rPr>
        <w:t>hool of Medicine at Mount Sinai</w:t>
      </w:r>
    </w:p>
    <w:p w14:paraId="2E46917B" w14:textId="6C5DC8E3" w:rsidR="007845D0" w:rsidRDefault="007845D0" w:rsidP="007845D0">
      <w:pPr>
        <w:widowControl w:val="0"/>
        <w:tabs>
          <w:tab w:val="left" w:pos="220"/>
          <w:tab w:val="left" w:pos="720"/>
        </w:tabs>
        <w:adjustRightInd w:val="0"/>
        <w:spacing w:line="0" w:lineRule="atLeast"/>
        <w:rPr>
          <w:rFonts w:cs="Tahoma"/>
          <w:color w:val="000000"/>
          <w:szCs w:val="32"/>
        </w:rPr>
      </w:pPr>
      <w:r>
        <w:rPr>
          <w:rFonts w:cs="Tahoma"/>
          <w:color w:val="000000"/>
          <w:szCs w:val="32"/>
        </w:rPr>
        <w:t xml:space="preserve">2014        Best Poster award and Travel grant, </w:t>
      </w:r>
      <w:r w:rsidRPr="007845D0">
        <w:rPr>
          <w:rFonts w:cs="Tahoma"/>
          <w:color w:val="000000"/>
          <w:szCs w:val="32"/>
        </w:rPr>
        <w:t>ASBMB</w:t>
      </w:r>
    </w:p>
    <w:p w14:paraId="7D282BCB" w14:textId="77777777" w:rsidR="007845D0" w:rsidRDefault="007845D0" w:rsidP="007845D0">
      <w:pPr>
        <w:pStyle w:val="DataField11pt-Single"/>
        <w:rPr>
          <w:rFonts w:cs="Tahoma"/>
          <w:color w:val="000000"/>
          <w:szCs w:val="32"/>
        </w:rPr>
      </w:pPr>
      <w:r>
        <w:rPr>
          <w:rFonts w:cs="Tahoma"/>
          <w:color w:val="000000"/>
          <w:szCs w:val="32"/>
        </w:rPr>
        <w:t xml:space="preserve">2014        </w:t>
      </w:r>
      <w:r w:rsidRPr="007845D0">
        <w:rPr>
          <w:rFonts w:cs="Tahoma"/>
          <w:color w:val="000000"/>
          <w:szCs w:val="32"/>
        </w:rPr>
        <w:t xml:space="preserve">Travel award for Bio-XFEL workshop on serial crystallography, Lawrence Berkeley National </w:t>
      </w:r>
      <w:r>
        <w:rPr>
          <w:rFonts w:cs="Tahoma"/>
          <w:color w:val="000000"/>
          <w:szCs w:val="32"/>
        </w:rPr>
        <w:t xml:space="preserve"> </w:t>
      </w:r>
    </w:p>
    <w:p w14:paraId="7F578C47" w14:textId="7132686A" w:rsidR="007845D0" w:rsidRDefault="00146A8D" w:rsidP="007845D0">
      <w:pPr>
        <w:pStyle w:val="DataField11pt-Single"/>
        <w:rPr>
          <w:rFonts w:cs="Tahoma"/>
          <w:color w:val="000000"/>
          <w:szCs w:val="32"/>
        </w:rPr>
      </w:pPr>
      <w:r>
        <w:rPr>
          <w:rFonts w:cs="Tahoma"/>
          <w:color w:val="000000"/>
          <w:szCs w:val="32"/>
        </w:rPr>
        <w:t xml:space="preserve">                </w:t>
      </w:r>
      <w:r w:rsidR="007845D0">
        <w:rPr>
          <w:rFonts w:cs="Tahoma"/>
          <w:color w:val="000000"/>
          <w:szCs w:val="32"/>
        </w:rPr>
        <w:t>Laboratory (LBNL)</w:t>
      </w:r>
    </w:p>
    <w:p w14:paraId="35DC8F23" w14:textId="78750828" w:rsidR="000A16AC" w:rsidRPr="00FD5A64" w:rsidRDefault="000A16AC" w:rsidP="007845D0">
      <w:pPr>
        <w:pStyle w:val="DataField11pt-Single"/>
        <w:rPr>
          <w:rStyle w:val="Strong"/>
          <w:rFonts w:cs="Tahoma"/>
          <w:b w:val="0"/>
          <w:bCs w:val="0"/>
          <w:color w:val="000000"/>
          <w:szCs w:val="32"/>
        </w:rPr>
      </w:pPr>
      <w:r>
        <w:rPr>
          <w:rStyle w:val="Strong"/>
          <w:rFonts w:cs="Tahoma"/>
          <w:b w:val="0"/>
          <w:bCs w:val="0"/>
          <w:color w:val="000000"/>
          <w:szCs w:val="32"/>
        </w:rPr>
        <w:lastRenderedPageBreak/>
        <w:t>2020      Best poster Award, Department of Pharmacological Sciences, ISMMS.</w:t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4DE2679B" w:rsidR="002C51BC" w:rsidRPr="00C81F29" w:rsidRDefault="002C51BC" w:rsidP="007B7C91">
      <w:pPr>
        <w:pStyle w:val="DataField11pt-Single"/>
        <w:numPr>
          <w:ilvl w:val="0"/>
          <w:numId w:val="32"/>
        </w:numPr>
        <w:rPr>
          <w:rStyle w:val="Strong"/>
          <w:b w:val="0"/>
        </w:rPr>
      </w:pPr>
      <w:r w:rsidRPr="00A128A0">
        <w:rPr>
          <w:rStyle w:val="Strong"/>
        </w:rPr>
        <w:t>Contributions to Science</w:t>
      </w:r>
      <w:r w:rsidR="00FE10AD">
        <w:rPr>
          <w:rStyle w:val="Strong"/>
        </w:rPr>
        <w:br/>
      </w:r>
    </w:p>
    <w:p w14:paraId="2C4ACE14" w14:textId="04BDED0D" w:rsidR="000D637C" w:rsidRDefault="00E31A0B" w:rsidP="00D9048A">
      <w:pPr>
        <w:pStyle w:val="DataField11pt-Single"/>
        <w:numPr>
          <w:ilvl w:val="0"/>
          <w:numId w:val="21"/>
        </w:numPr>
        <w:jc w:val="both"/>
        <w:rPr>
          <w:rStyle w:val="Strong"/>
          <w:b w:val="0"/>
        </w:rPr>
      </w:pPr>
      <w:r w:rsidRPr="00E31A0B">
        <w:rPr>
          <w:rStyle w:val="Strong"/>
        </w:rPr>
        <w:t>Metabolic enzymes</w:t>
      </w:r>
      <w:r w:rsidRPr="00751766">
        <w:rPr>
          <w:rStyle w:val="Strong"/>
          <w:b w:val="0"/>
        </w:rPr>
        <w:t xml:space="preserve">. </w:t>
      </w:r>
      <w:r w:rsidR="00C81F29" w:rsidRPr="00751766">
        <w:rPr>
          <w:rStyle w:val="Strong"/>
          <w:b w:val="0"/>
        </w:rPr>
        <w:t xml:space="preserve">My early publications </w:t>
      </w:r>
      <w:r w:rsidR="00C93034" w:rsidRPr="00751766">
        <w:rPr>
          <w:rStyle w:val="Strong"/>
          <w:b w:val="0"/>
        </w:rPr>
        <w:t>involved</w:t>
      </w:r>
      <w:r w:rsidR="00424F66" w:rsidRPr="00751766">
        <w:rPr>
          <w:rStyle w:val="Strong"/>
          <w:b w:val="0"/>
        </w:rPr>
        <w:t xml:space="preserve"> first </w:t>
      </w:r>
      <w:r w:rsidR="00342A07" w:rsidRPr="00751766">
        <w:rPr>
          <w:rStyle w:val="Strong"/>
          <w:b w:val="0"/>
        </w:rPr>
        <w:t>structural characterization of the</w:t>
      </w:r>
      <w:r w:rsidR="007747D4" w:rsidRPr="00751766">
        <w:rPr>
          <w:rStyle w:val="Strong"/>
          <w:b w:val="0"/>
        </w:rPr>
        <w:t xml:space="preserve"> metabolic enzyme, tartrate dehydrogenase </w:t>
      </w:r>
      <w:r w:rsidR="009619B9" w:rsidRPr="00751766">
        <w:rPr>
          <w:rStyle w:val="Strong"/>
          <w:b w:val="0"/>
        </w:rPr>
        <w:t xml:space="preserve">(TDH) </w:t>
      </w:r>
      <w:r w:rsidR="007747D4" w:rsidRPr="00751766">
        <w:rPr>
          <w:rStyle w:val="Strong"/>
          <w:b w:val="0"/>
        </w:rPr>
        <w:t xml:space="preserve">through </w:t>
      </w:r>
      <w:r w:rsidR="00424F66" w:rsidRPr="00751766">
        <w:rPr>
          <w:rStyle w:val="Strong"/>
          <w:b w:val="0"/>
        </w:rPr>
        <w:t xml:space="preserve">single wavelength anomalous dispersion </w:t>
      </w:r>
      <w:r w:rsidR="00557A9C" w:rsidRPr="00751766">
        <w:rPr>
          <w:rStyle w:val="Strong"/>
          <w:b w:val="0"/>
        </w:rPr>
        <w:t xml:space="preserve">(SAD) </w:t>
      </w:r>
      <w:r w:rsidR="00424F66" w:rsidRPr="00751766">
        <w:rPr>
          <w:rStyle w:val="Strong"/>
          <w:b w:val="0"/>
        </w:rPr>
        <w:t xml:space="preserve">method. </w:t>
      </w:r>
      <w:r w:rsidR="008C11B0" w:rsidRPr="00751766">
        <w:rPr>
          <w:rStyle w:val="Strong"/>
          <w:b w:val="0"/>
        </w:rPr>
        <w:t xml:space="preserve">TDH is found in a variety of </w:t>
      </w:r>
      <w:proofErr w:type="spellStart"/>
      <w:r w:rsidR="008C11B0" w:rsidRPr="00751766">
        <w:rPr>
          <w:rStyle w:val="Strong"/>
          <w:b w:val="0"/>
        </w:rPr>
        <w:t>microorgranisms</w:t>
      </w:r>
      <w:proofErr w:type="spellEnd"/>
      <w:r w:rsidR="008C11B0" w:rsidRPr="00751766">
        <w:rPr>
          <w:rStyle w:val="Strong"/>
          <w:b w:val="0"/>
        </w:rPr>
        <w:t xml:space="preserve"> and functions as part of a pathway through which tartrate is converted to D-</w:t>
      </w:r>
      <w:proofErr w:type="spellStart"/>
      <w:r w:rsidR="008C11B0" w:rsidRPr="00751766">
        <w:rPr>
          <w:rStyle w:val="Strong"/>
          <w:b w:val="0"/>
        </w:rPr>
        <w:t>glycerate</w:t>
      </w:r>
      <w:proofErr w:type="spellEnd"/>
      <w:r w:rsidR="00CA409C" w:rsidRPr="00751766">
        <w:rPr>
          <w:rStyle w:val="Strong"/>
          <w:b w:val="0"/>
        </w:rPr>
        <w:t>, th</w:t>
      </w:r>
      <w:r w:rsidR="0093678A">
        <w:rPr>
          <w:rStyle w:val="Strong"/>
          <w:b w:val="0"/>
        </w:rPr>
        <w:t>ereby providing entry of these carbon</w:t>
      </w:r>
      <w:r w:rsidR="00CA409C" w:rsidRPr="00751766">
        <w:rPr>
          <w:rStyle w:val="Strong"/>
          <w:b w:val="0"/>
        </w:rPr>
        <w:t xml:space="preserve"> atoms into primary metabolic pathways. </w:t>
      </w:r>
      <w:r w:rsidR="00E14AFB" w:rsidRPr="00751766">
        <w:rPr>
          <w:rStyle w:val="Strong"/>
          <w:b w:val="0"/>
        </w:rPr>
        <w:t xml:space="preserve">TDH is an unusual NAD-dependent enzyme that </w:t>
      </w:r>
      <w:r w:rsidR="00095EB2" w:rsidRPr="00751766">
        <w:rPr>
          <w:rStyle w:val="Strong"/>
          <w:b w:val="0"/>
        </w:rPr>
        <w:t>exhibits multiple</w:t>
      </w:r>
      <w:r w:rsidR="00C93034" w:rsidRPr="00751766">
        <w:rPr>
          <w:rStyle w:val="Strong"/>
          <w:b w:val="0"/>
        </w:rPr>
        <w:t xml:space="preserve"> catalytic ac</w:t>
      </w:r>
      <w:r w:rsidR="00E14AFB" w:rsidRPr="00751766">
        <w:rPr>
          <w:rStyle w:val="Strong"/>
          <w:b w:val="0"/>
        </w:rPr>
        <w:t>tivities at a single active.</w:t>
      </w:r>
      <w:r w:rsidR="000D637C" w:rsidRPr="00751766">
        <w:rPr>
          <w:rStyle w:val="Strong"/>
          <w:b w:val="0"/>
        </w:rPr>
        <w:t xml:space="preserve"> Through X-ray crystallographic studies, we were able to</w:t>
      </w:r>
      <w:r w:rsidR="00320CB2">
        <w:rPr>
          <w:rStyle w:val="Strong"/>
          <w:b w:val="0"/>
        </w:rPr>
        <w:t xml:space="preserve"> determine its high-</w:t>
      </w:r>
      <w:r w:rsidR="00D16423">
        <w:rPr>
          <w:rStyle w:val="Strong"/>
          <w:b w:val="0"/>
        </w:rPr>
        <w:t xml:space="preserve">resolution structure and </w:t>
      </w:r>
      <w:r w:rsidR="00751766" w:rsidRPr="00751766">
        <w:rPr>
          <w:rStyle w:val="Strong"/>
          <w:b w:val="0"/>
        </w:rPr>
        <w:t xml:space="preserve">propose a </w:t>
      </w:r>
      <w:r w:rsidR="00C93034" w:rsidRPr="00751766">
        <w:rPr>
          <w:rStyle w:val="Strong"/>
          <w:b w:val="0"/>
        </w:rPr>
        <w:t>mechanism</w:t>
      </w:r>
      <w:r w:rsidR="00E14AFB" w:rsidRPr="00751766">
        <w:rPr>
          <w:rStyle w:val="Strong"/>
          <w:b w:val="0"/>
        </w:rPr>
        <w:t xml:space="preserve"> </w:t>
      </w:r>
      <w:r w:rsidR="00751766">
        <w:rPr>
          <w:rStyle w:val="Strong"/>
          <w:b w:val="0"/>
        </w:rPr>
        <w:t>of</w:t>
      </w:r>
      <w:r w:rsidR="000D637C" w:rsidRPr="00751766">
        <w:rPr>
          <w:rStyle w:val="Strong"/>
          <w:b w:val="0"/>
        </w:rPr>
        <w:t xml:space="preserve"> its actio</w:t>
      </w:r>
      <w:r w:rsidR="00751766" w:rsidRPr="00751766">
        <w:rPr>
          <w:rStyle w:val="Strong"/>
          <w:b w:val="0"/>
        </w:rPr>
        <w:t>n</w:t>
      </w:r>
      <w:r w:rsidR="00751766">
        <w:rPr>
          <w:rStyle w:val="Strong"/>
          <w:b w:val="0"/>
        </w:rPr>
        <w:t xml:space="preserve">. </w:t>
      </w:r>
    </w:p>
    <w:p w14:paraId="465A0EEC" w14:textId="77777777" w:rsidR="00751766" w:rsidRPr="00751766" w:rsidRDefault="00751766" w:rsidP="00751766">
      <w:pPr>
        <w:pStyle w:val="DataField11pt-Single"/>
        <w:ind w:left="720"/>
        <w:jc w:val="both"/>
        <w:rPr>
          <w:rStyle w:val="Strong"/>
          <w:b w:val="0"/>
        </w:rPr>
      </w:pPr>
    </w:p>
    <w:p w14:paraId="2E86D997" w14:textId="41C32AD6" w:rsidR="00C93034" w:rsidRPr="000C28BC" w:rsidRDefault="00C93034" w:rsidP="000C28BC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djustRightInd w:val="0"/>
        <w:spacing w:line="0" w:lineRule="atLeast"/>
        <w:ind w:left="1166"/>
        <w:rPr>
          <w:rFonts w:cs="Arial"/>
          <w:color w:val="000000"/>
          <w:szCs w:val="22"/>
        </w:rPr>
      </w:pPr>
      <w:r w:rsidRPr="00C93034">
        <w:rPr>
          <w:rFonts w:cs="Arial"/>
          <w:b/>
          <w:bCs/>
          <w:color w:val="000000"/>
          <w:szCs w:val="22"/>
        </w:rPr>
        <w:t>Malik, R</w:t>
      </w:r>
      <w:r w:rsidRPr="00C93034">
        <w:rPr>
          <w:rFonts w:cs="Arial"/>
          <w:color w:val="000000"/>
          <w:szCs w:val="22"/>
        </w:rPr>
        <w:t xml:space="preserve">., Viola, R. E. </w:t>
      </w:r>
      <w:r w:rsidRPr="00C93034">
        <w:rPr>
          <w:rFonts w:cs="Arial"/>
          <w:b/>
          <w:bCs/>
          <w:color w:val="000000"/>
          <w:szCs w:val="22"/>
        </w:rPr>
        <w:t>“</w:t>
      </w:r>
      <w:r w:rsidRPr="00C93034">
        <w:rPr>
          <w:rFonts w:cs="Arial"/>
          <w:color w:val="000000"/>
          <w:szCs w:val="22"/>
        </w:rPr>
        <w:t>Structural Characterization of Tartrate Dehydrogenase: a versatile</w:t>
      </w:r>
      <w:r w:rsidRPr="00C93034">
        <w:rPr>
          <w:rFonts w:ascii="Tahoma" w:hAnsi="Tahoma" w:cs="Tahoma"/>
          <w:color w:val="000000"/>
          <w:sz w:val="24"/>
        </w:rPr>
        <w:t xml:space="preserve"> </w:t>
      </w:r>
      <w:r w:rsidRPr="00C93034">
        <w:rPr>
          <w:rFonts w:cs="Arial"/>
          <w:color w:val="000000"/>
          <w:szCs w:val="22"/>
        </w:rPr>
        <w:t>enzyme catalyzing multiple reactions</w:t>
      </w:r>
      <w:r w:rsidRPr="00C93034">
        <w:rPr>
          <w:rFonts w:cs="Arial"/>
          <w:b/>
          <w:bCs/>
          <w:color w:val="000000"/>
          <w:szCs w:val="22"/>
        </w:rPr>
        <w:t xml:space="preserve">” </w:t>
      </w:r>
      <w:r w:rsidRPr="00C93034">
        <w:rPr>
          <w:rFonts w:cs="Arial"/>
          <w:color w:val="000000"/>
          <w:szCs w:val="22"/>
        </w:rPr>
        <w:t xml:space="preserve">Acta </w:t>
      </w:r>
      <w:proofErr w:type="spellStart"/>
      <w:r w:rsidRPr="00C93034">
        <w:rPr>
          <w:rFonts w:cs="Arial"/>
          <w:color w:val="000000"/>
          <w:szCs w:val="22"/>
        </w:rPr>
        <w:t>Crystallographica</w:t>
      </w:r>
      <w:proofErr w:type="spellEnd"/>
      <w:r w:rsidRPr="00C93034">
        <w:rPr>
          <w:rFonts w:cs="Arial"/>
          <w:color w:val="000000"/>
          <w:szCs w:val="22"/>
        </w:rPr>
        <w:t xml:space="preserve"> 2010, D66, 673-684. </w:t>
      </w:r>
      <w:r w:rsidRPr="00C93034">
        <w:rPr>
          <w:rFonts w:ascii="MS Mincho" w:eastAsia="MS Mincho" w:hAnsi="MS Mincho" w:cs="MS Mincho"/>
          <w:color w:val="000000"/>
          <w:szCs w:val="22"/>
        </w:rPr>
        <w:t> </w:t>
      </w:r>
    </w:p>
    <w:p w14:paraId="46FED807" w14:textId="77777777" w:rsidR="000C28BC" w:rsidRPr="00C93034" w:rsidRDefault="000C28BC" w:rsidP="000C28BC">
      <w:pPr>
        <w:pStyle w:val="ListParagraph"/>
        <w:widowControl w:val="0"/>
        <w:tabs>
          <w:tab w:val="left" w:pos="220"/>
          <w:tab w:val="left" w:pos="720"/>
        </w:tabs>
        <w:adjustRightInd w:val="0"/>
        <w:spacing w:line="0" w:lineRule="atLeast"/>
        <w:ind w:left="1166"/>
        <w:rPr>
          <w:rStyle w:val="Strong"/>
          <w:rFonts w:cs="Arial"/>
          <w:b w:val="0"/>
          <w:bCs w:val="0"/>
          <w:color w:val="000000"/>
          <w:szCs w:val="22"/>
        </w:rPr>
      </w:pPr>
    </w:p>
    <w:p w14:paraId="7B27077E" w14:textId="1785AEC9" w:rsidR="00424F66" w:rsidRPr="0039025F" w:rsidRDefault="00E31A0B" w:rsidP="00CB63C4">
      <w:pPr>
        <w:pStyle w:val="DataField11pt-Single"/>
        <w:numPr>
          <w:ilvl w:val="0"/>
          <w:numId w:val="21"/>
        </w:numPr>
        <w:jc w:val="both"/>
        <w:rPr>
          <w:rStyle w:val="Strong"/>
          <w:b w:val="0"/>
        </w:rPr>
      </w:pPr>
      <w:r w:rsidRPr="00E31A0B">
        <w:rPr>
          <w:rStyle w:val="Strong"/>
        </w:rPr>
        <w:t>Neurological Disorders</w:t>
      </w:r>
      <w:r w:rsidR="00C93034">
        <w:rPr>
          <w:rStyle w:val="Strong"/>
          <w:b w:val="0"/>
        </w:rPr>
        <w:t>.</w:t>
      </w:r>
      <w:r w:rsidR="0016396F">
        <w:rPr>
          <w:rStyle w:val="Strong"/>
          <w:b w:val="0"/>
        </w:rPr>
        <w:t xml:space="preserve"> </w:t>
      </w:r>
      <w:r w:rsidR="0039025F">
        <w:rPr>
          <w:rStyle w:val="Strong"/>
          <w:b w:val="0"/>
        </w:rPr>
        <w:t xml:space="preserve">Canavan Disease (CD) is a genetically transmitted neurodegenerative disorder that leads to paralysis, blindness and epileptic seizures during the first decade of life. A deficiency in </w:t>
      </w:r>
      <w:proofErr w:type="spellStart"/>
      <w:r w:rsidR="0039025F">
        <w:rPr>
          <w:rStyle w:val="Strong"/>
          <w:b w:val="0"/>
        </w:rPr>
        <w:t>Aspartoacylase</w:t>
      </w:r>
      <w:proofErr w:type="spellEnd"/>
      <w:r w:rsidR="0039025F">
        <w:rPr>
          <w:rStyle w:val="Strong"/>
          <w:b w:val="0"/>
        </w:rPr>
        <w:t xml:space="preserve"> activity has been implicated as the cause of CD. I have worked </w:t>
      </w:r>
      <w:r w:rsidR="0039025F" w:rsidRPr="00424F66">
        <w:rPr>
          <w:rStyle w:val="Strong"/>
          <w:b w:val="0"/>
        </w:rPr>
        <w:t xml:space="preserve">on </w:t>
      </w:r>
      <w:r w:rsidR="0039025F">
        <w:rPr>
          <w:rStyle w:val="Strong"/>
          <w:b w:val="0"/>
        </w:rPr>
        <w:t xml:space="preserve">obtaining </w:t>
      </w:r>
      <w:r w:rsidR="0039025F" w:rsidRPr="00424F66">
        <w:rPr>
          <w:rStyle w:val="Strong"/>
          <w:b w:val="0"/>
        </w:rPr>
        <w:t xml:space="preserve">mechanistic </w:t>
      </w:r>
      <w:bookmarkStart w:id="0" w:name="_GoBack"/>
      <w:r w:rsidR="0039025F" w:rsidRPr="00424F66">
        <w:rPr>
          <w:rStyle w:val="Strong"/>
          <w:b w:val="0"/>
        </w:rPr>
        <w:t xml:space="preserve">insights </w:t>
      </w:r>
      <w:r w:rsidR="0039025F">
        <w:rPr>
          <w:rStyle w:val="Strong"/>
          <w:b w:val="0"/>
        </w:rPr>
        <w:t xml:space="preserve">into the function of </w:t>
      </w:r>
      <w:proofErr w:type="spellStart"/>
      <w:r w:rsidR="0039025F">
        <w:rPr>
          <w:rStyle w:val="Strong"/>
          <w:b w:val="0"/>
        </w:rPr>
        <w:t>Aspartoacylase</w:t>
      </w:r>
      <w:proofErr w:type="spellEnd"/>
      <w:r w:rsidR="0039025F">
        <w:rPr>
          <w:rStyle w:val="Strong"/>
          <w:b w:val="0"/>
        </w:rPr>
        <w:t xml:space="preserve">. </w:t>
      </w:r>
      <w:r w:rsidR="00D75077" w:rsidRPr="0039025F">
        <w:rPr>
          <w:rStyle w:val="Strong"/>
          <w:b w:val="0"/>
        </w:rPr>
        <w:t xml:space="preserve">Among </w:t>
      </w:r>
      <w:r w:rsidR="0039025F">
        <w:rPr>
          <w:rStyle w:val="Strong"/>
          <w:b w:val="0"/>
        </w:rPr>
        <w:t>other</w:t>
      </w:r>
      <w:r w:rsidR="00095EB2" w:rsidRPr="0039025F">
        <w:rPr>
          <w:rStyle w:val="Strong"/>
          <w:b w:val="0"/>
        </w:rPr>
        <w:t xml:space="preserve"> </w:t>
      </w:r>
      <w:r w:rsidR="0083363B" w:rsidRPr="0039025F">
        <w:rPr>
          <w:rStyle w:val="Strong"/>
          <w:b w:val="0"/>
        </w:rPr>
        <w:t>efforts, I</w:t>
      </w:r>
      <w:r w:rsidR="00D75077" w:rsidRPr="0039025F">
        <w:rPr>
          <w:rStyle w:val="Strong"/>
          <w:b w:val="0"/>
        </w:rPr>
        <w:t xml:space="preserve"> </w:t>
      </w:r>
      <w:r w:rsidR="004569B4">
        <w:rPr>
          <w:rStyle w:val="Strong"/>
          <w:b w:val="0"/>
        </w:rPr>
        <w:t xml:space="preserve">have </w:t>
      </w:r>
      <w:r w:rsidR="00246FAE">
        <w:rPr>
          <w:rStyle w:val="Strong"/>
          <w:b w:val="0"/>
        </w:rPr>
        <w:t>worked on modifying</w:t>
      </w:r>
      <w:r w:rsidR="000F7A89" w:rsidRPr="0039025F">
        <w:rPr>
          <w:rStyle w:val="Strong"/>
          <w:b w:val="0"/>
        </w:rPr>
        <w:t xml:space="preserve"> </w:t>
      </w:r>
      <w:bookmarkEnd w:id="0"/>
      <w:proofErr w:type="spellStart"/>
      <w:r w:rsidR="000F7A89" w:rsidRPr="0039025F">
        <w:rPr>
          <w:rStyle w:val="Strong"/>
          <w:b w:val="0"/>
        </w:rPr>
        <w:t>Aspartoacylase</w:t>
      </w:r>
      <w:proofErr w:type="spellEnd"/>
      <w:r w:rsidR="000F7A89" w:rsidRPr="0039025F">
        <w:rPr>
          <w:rStyle w:val="Strong"/>
          <w:b w:val="0"/>
        </w:rPr>
        <w:t xml:space="preserve"> through PEGylation to find an effective treatment for Canavan Disease</w:t>
      </w:r>
      <w:r w:rsidR="00095EB2" w:rsidRPr="0039025F">
        <w:rPr>
          <w:rStyle w:val="Strong"/>
          <w:b w:val="0"/>
        </w:rPr>
        <w:t>.</w:t>
      </w:r>
      <w:r w:rsidR="0016685E" w:rsidRPr="0039025F">
        <w:rPr>
          <w:rStyle w:val="Strong"/>
          <w:b w:val="0"/>
        </w:rPr>
        <w:t xml:space="preserve"> </w:t>
      </w:r>
    </w:p>
    <w:p w14:paraId="723AF541" w14:textId="209A2229" w:rsidR="0032773B" w:rsidRDefault="004569B4" w:rsidP="00CB63C4">
      <w:pPr>
        <w:pStyle w:val="DataField11pt-Single"/>
        <w:ind w:left="72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I am currently pursuing the structural studies of </w:t>
      </w:r>
      <w:r w:rsidR="00667472">
        <w:rPr>
          <w:rStyle w:val="Strong"/>
          <w:b w:val="0"/>
        </w:rPr>
        <w:t>Leucine-rich repeat kinase 2 (LRRK2)</w:t>
      </w:r>
      <w:r w:rsidR="00E93E3A">
        <w:rPr>
          <w:rStyle w:val="Strong"/>
          <w:b w:val="0"/>
        </w:rPr>
        <w:t xml:space="preserve">. Parkinson’s Disease (PD) is the most common chronic neurodegenerative movement disorder affecting 1 % of the world over the age of sixty. Discovered over a decade ago, LRRK2 has now emerged as a major target not only for understanding the molecular basis of PD but also for therapeutic intervention. </w:t>
      </w:r>
      <w:r w:rsidR="00E163DA">
        <w:rPr>
          <w:rStyle w:val="Strong"/>
          <w:b w:val="0"/>
        </w:rPr>
        <w:t xml:space="preserve">LRRK2 mutations have been implicated in a significant number of </w:t>
      </w:r>
      <w:r w:rsidR="00D86DAA">
        <w:rPr>
          <w:rStyle w:val="Strong"/>
          <w:b w:val="0"/>
        </w:rPr>
        <w:t xml:space="preserve">sporadic PD cases. </w:t>
      </w:r>
      <w:r w:rsidR="00E163DA">
        <w:rPr>
          <w:rStyle w:val="Strong"/>
          <w:b w:val="0"/>
        </w:rPr>
        <w:t xml:space="preserve"> </w:t>
      </w:r>
      <w:r w:rsidR="00843821">
        <w:rPr>
          <w:rStyle w:val="Strong"/>
          <w:b w:val="0"/>
        </w:rPr>
        <w:t xml:space="preserve">I am using </w:t>
      </w:r>
      <w:proofErr w:type="spellStart"/>
      <w:r w:rsidR="00843821">
        <w:rPr>
          <w:rStyle w:val="Strong"/>
          <w:b w:val="0"/>
        </w:rPr>
        <w:t>cryoelectron</w:t>
      </w:r>
      <w:proofErr w:type="spellEnd"/>
      <w:r w:rsidR="00843821">
        <w:rPr>
          <w:rStyle w:val="Strong"/>
          <w:b w:val="0"/>
        </w:rPr>
        <w:t xml:space="preserve"> microscopy (cryo</w:t>
      </w:r>
      <w:r w:rsidR="007E0769">
        <w:rPr>
          <w:rStyle w:val="Strong"/>
          <w:b w:val="0"/>
        </w:rPr>
        <w:t>-</w:t>
      </w:r>
      <w:r w:rsidR="00843821">
        <w:rPr>
          <w:rStyle w:val="Strong"/>
          <w:b w:val="0"/>
        </w:rPr>
        <w:t xml:space="preserve">EM) to get </w:t>
      </w:r>
      <w:r w:rsidR="00D86DAA">
        <w:rPr>
          <w:rStyle w:val="Strong"/>
          <w:b w:val="0"/>
        </w:rPr>
        <w:t>high resolution structural information</w:t>
      </w:r>
      <w:r w:rsidR="007F61E5">
        <w:rPr>
          <w:rStyle w:val="Strong"/>
          <w:b w:val="0"/>
        </w:rPr>
        <w:t xml:space="preserve"> of </w:t>
      </w:r>
      <w:r w:rsidR="00D86DAA">
        <w:rPr>
          <w:rStyle w:val="Strong"/>
          <w:b w:val="0"/>
        </w:rPr>
        <w:t xml:space="preserve">full length </w:t>
      </w:r>
      <w:r w:rsidR="007F61E5">
        <w:rPr>
          <w:rStyle w:val="Strong"/>
          <w:b w:val="0"/>
        </w:rPr>
        <w:t xml:space="preserve">LRRK2 in order to understand the </w:t>
      </w:r>
      <w:r w:rsidR="00D86DAA">
        <w:rPr>
          <w:rStyle w:val="Strong"/>
          <w:b w:val="0"/>
        </w:rPr>
        <w:t>molecular</w:t>
      </w:r>
      <w:r w:rsidR="007F61E5">
        <w:rPr>
          <w:rStyle w:val="Strong"/>
          <w:b w:val="0"/>
        </w:rPr>
        <w:t xml:space="preserve"> basis</w:t>
      </w:r>
      <w:r w:rsidR="00D86DAA">
        <w:rPr>
          <w:rStyle w:val="Strong"/>
          <w:b w:val="0"/>
        </w:rPr>
        <w:t xml:space="preserve"> of Parkinson’s disease.</w:t>
      </w:r>
    </w:p>
    <w:p w14:paraId="74C0200A" w14:textId="77777777" w:rsidR="004569B4" w:rsidRDefault="004569B4" w:rsidP="0032773B">
      <w:pPr>
        <w:pStyle w:val="DataField11pt-Single"/>
        <w:ind w:left="720"/>
        <w:rPr>
          <w:rStyle w:val="Strong"/>
          <w:b w:val="0"/>
        </w:rPr>
      </w:pPr>
    </w:p>
    <w:p w14:paraId="63AD77D7" w14:textId="77777777" w:rsidR="00D75077" w:rsidRPr="00D75077" w:rsidRDefault="00556B1A" w:rsidP="00D75077">
      <w:pPr>
        <w:pStyle w:val="DataField11pt-Single"/>
        <w:numPr>
          <w:ilvl w:val="0"/>
          <w:numId w:val="25"/>
        </w:numPr>
        <w:rPr>
          <w:bCs/>
        </w:rPr>
      </w:pPr>
      <w:r w:rsidRPr="00556B1A">
        <w:rPr>
          <w:color w:val="000000"/>
          <w:szCs w:val="22"/>
        </w:rPr>
        <w:t xml:space="preserve">Coq, J. L., </w:t>
      </w:r>
      <w:proofErr w:type="spellStart"/>
      <w:r w:rsidRPr="00556B1A">
        <w:rPr>
          <w:color w:val="000000"/>
          <w:szCs w:val="22"/>
        </w:rPr>
        <w:t>Pavlovsky</w:t>
      </w:r>
      <w:proofErr w:type="spellEnd"/>
      <w:r w:rsidRPr="00556B1A">
        <w:rPr>
          <w:color w:val="000000"/>
          <w:szCs w:val="22"/>
        </w:rPr>
        <w:t xml:space="preserve">, A., </w:t>
      </w:r>
      <w:r w:rsidRPr="00556B1A">
        <w:rPr>
          <w:b/>
          <w:bCs/>
          <w:color w:val="000000"/>
          <w:szCs w:val="22"/>
        </w:rPr>
        <w:t>Malik, R</w:t>
      </w:r>
      <w:r w:rsidRPr="00556B1A">
        <w:rPr>
          <w:color w:val="000000"/>
          <w:szCs w:val="22"/>
        </w:rPr>
        <w:t xml:space="preserve">., </w:t>
      </w:r>
      <w:proofErr w:type="spellStart"/>
      <w:r w:rsidRPr="00556B1A">
        <w:rPr>
          <w:color w:val="000000"/>
          <w:szCs w:val="22"/>
        </w:rPr>
        <w:t>Sanishvili</w:t>
      </w:r>
      <w:proofErr w:type="spellEnd"/>
      <w:r w:rsidRPr="00556B1A">
        <w:rPr>
          <w:color w:val="000000"/>
          <w:szCs w:val="22"/>
        </w:rPr>
        <w:t xml:space="preserve">, R., Xu, C., Viola, R. E. </w:t>
      </w:r>
      <w:r w:rsidRPr="00556B1A">
        <w:rPr>
          <w:b/>
          <w:bCs/>
          <w:color w:val="000000"/>
          <w:szCs w:val="22"/>
        </w:rPr>
        <w:t>“</w:t>
      </w:r>
      <w:r w:rsidRPr="00556B1A">
        <w:rPr>
          <w:color w:val="000000"/>
          <w:szCs w:val="22"/>
        </w:rPr>
        <w:t xml:space="preserve">Examination of the mechanism of the human brain </w:t>
      </w:r>
      <w:proofErr w:type="spellStart"/>
      <w:r w:rsidRPr="00556B1A">
        <w:rPr>
          <w:color w:val="000000"/>
          <w:szCs w:val="22"/>
        </w:rPr>
        <w:t>aspartoacylase</w:t>
      </w:r>
      <w:proofErr w:type="spellEnd"/>
      <w:r w:rsidRPr="00556B1A">
        <w:rPr>
          <w:color w:val="000000"/>
          <w:szCs w:val="22"/>
        </w:rPr>
        <w:t xml:space="preserve"> through the binding of an intermediate analogue</w:t>
      </w:r>
      <w:r w:rsidRPr="00556B1A">
        <w:rPr>
          <w:b/>
          <w:bCs/>
          <w:color w:val="000000"/>
          <w:szCs w:val="22"/>
        </w:rPr>
        <w:t xml:space="preserve">” </w:t>
      </w:r>
      <w:r w:rsidRPr="00556B1A">
        <w:rPr>
          <w:color w:val="000000"/>
          <w:szCs w:val="22"/>
        </w:rPr>
        <w:t>Biochemistry 2008, 47(11), 3484-3492.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</w:p>
    <w:p w14:paraId="5B8A06BD" w14:textId="48C78A37" w:rsidR="00D75077" w:rsidRPr="000F7A89" w:rsidRDefault="00D75077" w:rsidP="00D75077">
      <w:pPr>
        <w:pStyle w:val="DataField11pt-Single"/>
        <w:numPr>
          <w:ilvl w:val="0"/>
          <w:numId w:val="25"/>
        </w:numPr>
        <w:rPr>
          <w:bCs/>
        </w:rPr>
      </w:pPr>
      <w:proofErr w:type="spellStart"/>
      <w:r w:rsidRPr="00D75077">
        <w:rPr>
          <w:color w:val="000000"/>
          <w:szCs w:val="22"/>
        </w:rPr>
        <w:t>Zano</w:t>
      </w:r>
      <w:proofErr w:type="spellEnd"/>
      <w:r w:rsidRPr="00D75077">
        <w:rPr>
          <w:color w:val="000000"/>
          <w:szCs w:val="22"/>
        </w:rPr>
        <w:t xml:space="preserve">, S., </w:t>
      </w:r>
      <w:r w:rsidRPr="00D75077">
        <w:rPr>
          <w:b/>
          <w:bCs/>
          <w:color w:val="000000"/>
          <w:szCs w:val="22"/>
        </w:rPr>
        <w:t>Malik, R.</w:t>
      </w:r>
      <w:r w:rsidRPr="00D75077">
        <w:rPr>
          <w:color w:val="000000"/>
          <w:szCs w:val="22"/>
        </w:rPr>
        <w:t xml:space="preserve">, </w:t>
      </w:r>
      <w:proofErr w:type="spellStart"/>
      <w:r w:rsidRPr="00D75077">
        <w:rPr>
          <w:color w:val="000000"/>
          <w:szCs w:val="22"/>
        </w:rPr>
        <w:t>Szucs</w:t>
      </w:r>
      <w:proofErr w:type="spellEnd"/>
      <w:r w:rsidRPr="00D75077">
        <w:rPr>
          <w:color w:val="000000"/>
          <w:szCs w:val="22"/>
        </w:rPr>
        <w:t xml:space="preserve">, S., </w:t>
      </w:r>
      <w:proofErr w:type="spellStart"/>
      <w:r w:rsidRPr="00D75077">
        <w:rPr>
          <w:color w:val="000000"/>
          <w:szCs w:val="22"/>
        </w:rPr>
        <w:t>Matalon</w:t>
      </w:r>
      <w:proofErr w:type="spellEnd"/>
      <w:r w:rsidRPr="00D75077">
        <w:rPr>
          <w:color w:val="000000"/>
          <w:szCs w:val="22"/>
        </w:rPr>
        <w:t xml:space="preserve">, R., Viola, R. E. </w:t>
      </w:r>
      <w:r w:rsidRPr="00D75077">
        <w:rPr>
          <w:b/>
          <w:bCs/>
          <w:color w:val="000000"/>
          <w:szCs w:val="22"/>
        </w:rPr>
        <w:t>“</w:t>
      </w:r>
      <w:r w:rsidRPr="00D75077">
        <w:rPr>
          <w:color w:val="000000"/>
          <w:szCs w:val="22"/>
        </w:rPr>
        <w:t xml:space="preserve">Modification of </w:t>
      </w:r>
      <w:proofErr w:type="spellStart"/>
      <w:r w:rsidRPr="00D75077">
        <w:rPr>
          <w:color w:val="000000"/>
          <w:szCs w:val="22"/>
        </w:rPr>
        <w:t>aspartoacylase</w:t>
      </w:r>
      <w:proofErr w:type="spellEnd"/>
      <w:r w:rsidRPr="00D75077">
        <w:rPr>
          <w:color w:val="000000"/>
          <w:szCs w:val="22"/>
        </w:rPr>
        <w:t xml:space="preserve"> for the potential use in enzyme replacement therapy for the treatment of Canavan Disease</w:t>
      </w:r>
      <w:r w:rsidRPr="00D75077">
        <w:rPr>
          <w:b/>
          <w:bCs/>
          <w:color w:val="000000"/>
          <w:szCs w:val="22"/>
        </w:rPr>
        <w:t xml:space="preserve">” </w:t>
      </w:r>
      <w:r w:rsidRPr="00D75077">
        <w:rPr>
          <w:color w:val="000000"/>
          <w:szCs w:val="22"/>
        </w:rPr>
        <w:t>Molecular genetics and Metabolism 2011, 102(2), 176-180.</w:t>
      </w:r>
      <w:r w:rsidRPr="00D75077">
        <w:rPr>
          <w:rFonts w:ascii="Tahoma" w:hAnsi="Tahoma" w:cs="Tahoma"/>
          <w:color w:val="000000"/>
          <w:sz w:val="32"/>
          <w:szCs w:val="32"/>
        </w:rPr>
        <w:t xml:space="preserve"> </w:t>
      </w:r>
    </w:p>
    <w:p w14:paraId="0F9B6AC7" w14:textId="585C20F2" w:rsidR="000F7A89" w:rsidRPr="00D75077" w:rsidRDefault="000F7A89" w:rsidP="00D75077">
      <w:pPr>
        <w:pStyle w:val="DataField11pt-Single"/>
        <w:numPr>
          <w:ilvl w:val="0"/>
          <w:numId w:val="25"/>
        </w:numPr>
        <w:rPr>
          <w:bCs/>
        </w:rPr>
      </w:pPr>
      <w:proofErr w:type="spellStart"/>
      <w:r w:rsidRPr="00D75077">
        <w:rPr>
          <w:color w:val="000000"/>
          <w:szCs w:val="22"/>
        </w:rPr>
        <w:t>Arachea</w:t>
      </w:r>
      <w:proofErr w:type="spellEnd"/>
      <w:r w:rsidRPr="00D75077">
        <w:rPr>
          <w:color w:val="000000"/>
          <w:szCs w:val="22"/>
        </w:rPr>
        <w:t xml:space="preserve">, B. T., Sun, Z., </w:t>
      </w:r>
      <w:proofErr w:type="spellStart"/>
      <w:r w:rsidRPr="00D75077">
        <w:rPr>
          <w:color w:val="000000"/>
          <w:szCs w:val="22"/>
        </w:rPr>
        <w:t>Potente</w:t>
      </w:r>
      <w:proofErr w:type="spellEnd"/>
      <w:r w:rsidRPr="00D75077">
        <w:rPr>
          <w:color w:val="000000"/>
          <w:szCs w:val="22"/>
        </w:rPr>
        <w:t xml:space="preserve">, N., </w:t>
      </w:r>
      <w:r w:rsidRPr="00D75077">
        <w:rPr>
          <w:b/>
          <w:bCs/>
          <w:color w:val="000000"/>
          <w:szCs w:val="22"/>
        </w:rPr>
        <w:t>Malik, R</w:t>
      </w:r>
      <w:r w:rsidRPr="00D75077">
        <w:rPr>
          <w:color w:val="000000"/>
          <w:szCs w:val="22"/>
        </w:rPr>
        <w:t xml:space="preserve">., </w:t>
      </w:r>
      <w:proofErr w:type="spellStart"/>
      <w:r w:rsidRPr="00D75077">
        <w:rPr>
          <w:color w:val="000000"/>
          <w:szCs w:val="22"/>
        </w:rPr>
        <w:t>Isailovic</w:t>
      </w:r>
      <w:proofErr w:type="spellEnd"/>
      <w:r w:rsidRPr="00D75077">
        <w:rPr>
          <w:color w:val="000000"/>
          <w:szCs w:val="22"/>
        </w:rPr>
        <w:t xml:space="preserve">, D., Viola, R. E. </w:t>
      </w:r>
      <w:r w:rsidRPr="00D75077">
        <w:rPr>
          <w:b/>
          <w:bCs/>
          <w:color w:val="000000"/>
          <w:szCs w:val="22"/>
        </w:rPr>
        <w:t>“</w:t>
      </w:r>
      <w:r w:rsidRPr="00D75077">
        <w:rPr>
          <w:color w:val="000000"/>
          <w:szCs w:val="22"/>
        </w:rPr>
        <w:t>Detergent selection for enhanced extraction of membrane proteins</w:t>
      </w:r>
      <w:r w:rsidRPr="00D75077">
        <w:rPr>
          <w:b/>
          <w:bCs/>
          <w:color w:val="000000"/>
          <w:szCs w:val="22"/>
        </w:rPr>
        <w:t xml:space="preserve">” </w:t>
      </w:r>
      <w:r w:rsidRPr="00D75077">
        <w:rPr>
          <w:color w:val="000000"/>
          <w:szCs w:val="22"/>
        </w:rPr>
        <w:t>Protein expression and purification 2012, 86(2), 12-20</w:t>
      </w:r>
    </w:p>
    <w:p w14:paraId="7ACEE37F" w14:textId="7B36AE94" w:rsidR="00A32696" w:rsidRPr="00A32696" w:rsidRDefault="00D75077" w:rsidP="00A32696">
      <w:pPr>
        <w:pStyle w:val="DataField11pt-Single"/>
        <w:numPr>
          <w:ilvl w:val="0"/>
          <w:numId w:val="25"/>
        </w:numPr>
        <w:rPr>
          <w:bCs/>
        </w:rPr>
      </w:pPr>
      <w:proofErr w:type="spellStart"/>
      <w:r w:rsidRPr="00D75077">
        <w:rPr>
          <w:color w:val="000000"/>
          <w:szCs w:val="22"/>
        </w:rPr>
        <w:t>Zano</w:t>
      </w:r>
      <w:proofErr w:type="spellEnd"/>
      <w:r w:rsidRPr="00D75077">
        <w:rPr>
          <w:color w:val="000000"/>
          <w:szCs w:val="22"/>
        </w:rPr>
        <w:t xml:space="preserve">, S., </w:t>
      </w:r>
      <w:proofErr w:type="spellStart"/>
      <w:r w:rsidRPr="00D75077">
        <w:rPr>
          <w:color w:val="000000"/>
          <w:szCs w:val="22"/>
        </w:rPr>
        <w:t>Wijayasinghe</w:t>
      </w:r>
      <w:proofErr w:type="spellEnd"/>
      <w:r w:rsidRPr="00D75077">
        <w:rPr>
          <w:color w:val="000000"/>
          <w:szCs w:val="22"/>
        </w:rPr>
        <w:t xml:space="preserve">, Y. S., </w:t>
      </w:r>
      <w:r w:rsidRPr="00D75077">
        <w:rPr>
          <w:b/>
          <w:bCs/>
          <w:color w:val="000000"/>
          <w:szCs w:val="22"/>
        </w:rPr>
        <w:t>Malik, R.</w:t>
      </w:r>
      <w:r w:rsidRPr="00D75077">
        <w:rPr>
          <w:color w:val="000000"/>
          <w:szCs w:val="22"/>
        </w:rPr>
        <w:t>, Smith, J.,</w:t>
      </w:r>
      <w:r w:rsidR="009D17B0">
        <w:rPr>
          <w:color w:val="000000"/>
          <w:szCs w:val="22"/>
        </w:rPr>
        <w:t xml:space="preserve"> </w:t>
      </w:r>
      <w:r w:rsidRPr="00D75077">
        <w:rPr>
          <w:color w:val="000000"/>
          <w:szCs w:val="22"/>
        </w:rPr>
        <w:t xml:space="preserve">Viola, R. E. </w:t>
      </w:r>
      <w:r w:rsidRPr="00D75077">
        <w:rPr>
          <w:b/>
          <w:bCs/>
          <w:color w:val="000000"/>
          <w:szCs w:val="22"/>
        </w:rPr>
        <w:t>“</w:t>
      </w:r>
      <w:r w:rsidRPr="00D75077">
        <w:rPr>
          <w:color w:val="000000"/>
          <w:szCs w:val="22"/>
        </w:rPr>
        <w:t>Relationship between enzyme properties and disease progression in Canavan Disease</w:t>
      </w:r>
      <w:r w:rsidRPr="00D75077">
        <w:rPr>
          <w:b/>
          <w:bCs/>
          <w:color w:val="000000"/>
          <w:szCs w:val="22"/>
        </w:rPr>
        <w:t xml:space="preserve">” </w:t>
      </w:r>
      <w:r w:rsidRPr="00D75077">
        <w:rPr>
          <w:color w:val="000000"/>
          <w:szCs w:val="22"/>
        </w:rPr>
        <w:t>Journal of inherited metabolic disease 2013, 36(1), 1-6.</w:t>
      </w:r>
    </w:p>
    <w:p w14:paraId="3AB263DB" w14:textId="77777777" w:rsidR="00A32696" w:rsidRDefault="00A32696" w:rsidP="00A32696">
      <w:pPr>
        <w:pStyle w:val="DataField11pt-Single"/>
        <w:ind w:left="900"/>
        <w:rPr>
          <w:color w:val="000000"/>
          <w:szCs w:val="22"/>
        </w:rPr>
      </w:pPr>
    </w:p>
    <w:p w14:paraId="5B087753" w14:textId="10F11430" w:rsidR="0075201B" w:rsidRPr="0075201B" w:rsidRDefault="00E31A0B" w:rsidP="009C096A">
      <w:pPr>
        <w:pStyle w:val="ListParagraph"/>
        <w:widowControl w:val="0"/>
        <w:numPr>
          <w:ilvl w:val="0"/>
          <w:numId w:val="21"/>
        </w:numPr>
        <w:adjustRightInd w:val="0"/>
        <w:spacing w:line="0" w:lineRule="atLeast"/>
        <w:jc w:val="both"/>
        <w:rPr>
          <w:rFonts w:ascii="Times" w:hAnsi="Times" w:cs="Times"/>
          <w:color w:val="000000"/>
          <w:sz w:val="24"/>
        </w:rPr>
      </w:pPr>
      <w:proofErr w:type="spellStart"/>
      <w:r w:rsidRPr="00E31A0B">
        <w:rPr>
          <w:b/>
          <w:color w:val="000000"/>
          <w:szCs w:val="22"/>
        </w:rPr>
        <w:t>Translesion</w:t>
      </w:r>
      <w:proofErr w:type="spellEnd"/>
      <w:r w:rsidRPr="00E31A0B">
        <w:rPr>
          <w:b/>
          <w:color w:val="000000"/>
          <w:szCs w:val="22"/>
        </w:rPr>
        <w:t xml:space="preserve"> DNA synthesis and repair</w:t>
      </w:r>
      <w:r>
        <w:rPr>
          <w:color w:val="000000"/>
          <w:szCs w:val="22"/>
        </w:rPr>
        <w:t xml:space="preserve">. </w:t>
      </w:r>
      <w:r w:rsidR="000D139D">
        <w:rPr>
          <w:color w:val="000000"/>
          <w:szCs w:val="22"/>
        </w:rPr>
        <w:t xml:space="preserve">The discovery of </w:t>
      </w:r>
      <w:proofErr w:type="spellStart"/>
      <w:r w:rsidR="000D139D">
        <w:rPr>
          <w:color w:val="000000"/>
          <w:szCs w:val="22"/>
        </w:rPr>
        <w:t>tr</w:t>
      </w:r>
      <w:r w:rsidR="008E1824">
        <w:rPr>
          <w:color w:val="000000"/>
          <w:szCs w:val="22"/>
        </w:rPr>
        <w:t>anslesion</w:t>
      </w:r>
      <w:proofErr w:type="spellEnd"/>
      <w:r w:rsidR="008E1824">
        <w:rPr>
          <w:color w:val="000000"/>
          <w:szCs w:val="22"/>
        </w:rPr>
        <w:t xml:space="preserve"> synthesis (TLS) DNA polymerases about 15 years a</w:t>
      </w:r>
      <w:r w:rsidR="001B671F">
        <w:rPr>
          <w:color w:val="000000"/>
          <w:szCs w:val="22"/>
        </w:rPr>
        <w:t xml:space="preserve">go has changed our view on how </w:t>
      </w:r>
      <w:r w:rsidR="008E1824">
        <w:rPr>
          <w:color w:val="000000"/>
          <w:szCs w:val="22"/>
        </w:rPr>
        <w:t>cells cope with unrepaired DNA damage during replication</w:t>
      </w:r>
      <w:r w:rsidR="006556E1">
        <w:rPr>
          <w:color w:val="000000"/>
          <w:szCs w:val="22"/>
        </w:rPr>
        <w:t xml:space="preserve">. </w:t>
      </w:r>
      <w:r w:rsidR="007A22AE" w:rsidRPr="006556E1">
        <w:rPr>
          <w:color w:val="000000"/>
          <w:szCs w:val="22"/>
        </w:rPr>
        <w:t xml:space="preserve">I </w:t>
      </w:r>
      <w:r w:rsidR="00724097" w:rsidRPr="006556E1">
        <w:rPr>
          <w:color w:val="000000"/>
          <w:szCs w:val="22"/>
        </w:rPr>
        <w:t xml:space="preserve">have </w:t>
      </w:r>
      <w:r w:rsidR="007A22AE" w:rsidRPr="006556E1">
        <w:rPr>
          <w:color w:val="000000"/>
          <w:szCs w:val="22"/>
        </w:rPr>
        <w:t xml:space="preserve">used the technique of electron microscopy to solve the </w:t>
      </w:r>
      <w:r w:rsidR="00A6023E" w:rsidRPr="006556E1">
        <w:rPr>
          <w:color w:val="000000"/>
          <w:szCs w:val="22"/>
        </w:rPr>
        <w:t>challenging</w:t>
      </w:r>
      <w:r w:rsidRPr="006556E1">
        <w:rPr>
          <w:color w:val="000000"/>
          <w:szCs w:val="22"/>
        </w:rPr>
        <w:t xml:space="preserve"> </w:t>
      </w:r>
      <w:r w:rsidR="00D44735" w:rsidRPr="006556E1">
        <w:rPr>
          <w:color w:val="000000"/>
          <w:szCs w:val="22"/>
        </w:rPr>
        <w:t>s</w:t>
      </w:r>
      <w:r w:rsidR="00302C0C" w:rsidRPr="006556E1">
        <w:rPr>
          <w:color w:val="000000"/>
          <w:szCs w:val="22"/>
        </w:rPr>
        <w:t>tructure of an important mult</w:t>
      </w:r>
      <w:r w:rsidR="00D44735" w:rsidRPr="006556E1">
        <w:rPr>
          <w:color w:val="000000"/>
          <w:szCs w:val="22"/>
        </w:rPr>
        <w:t>i</w:t>
      </w:r>
      <w:r w:rsidR="00302C0C" w:rsidRPr="006556E1">
        <w:rPr>
          <w:color w:val="000000"/>
          <w:szCs w:val="22"/>
        </w:rPr>
        <w:t xml:space="preserve">-subunit DNA polymerase, Zeta (Pol </w:t>
      </w:r>
      <w:r w:rsidR="00302C0C" w:rsidRPr="006556E1">
        <w:rPr>
          <w:rFonts w:cs="Arial"/>
          <w:color w:val="000000"/>
          <w:szCs w:val="29"/>
        </w:rPr>
        <w:t>ζ)</w:t>
      </w:r>
      <w:r w:rsidR="00CE7BE4">
        <w:rPr>
          <w:rFonts w:cs="Arial"/>
          <w:color w:val="000000"/>
          <w:sz w:val="29"/>
          <w:szCs w:val="29"/>
        </w:rPr>
        <w:t xml:space="preserve">. </w:t>
      </w:r>
      <w:r w:rsidR="00CE7BE4" w:rsidRPr="006556E1">
        <w:rPr>
          <w:color w:val="000000"/>
          <w:szCs w:val="22"/>
        </w:rPr>
        <w:t xml:space="preserve">Pol </w:t>
      </w:r>
      <w:r w:rsidR="00CE7BE4" w:rsidRPr="006556E1">
        <w:rPr>
          <w:rFonts w:cs="Arial"/>
          <w:color w:val="000000"/>
          <w:szCs w:val="29"/>
        </w:rPr>
        <w:t>ζ</w:t>
      </w:r>
      <w:r w:rsidR="00CE7BE4">
        <w:rPr>
          <w:rFonts w:cs="Arial"/>
          <w:color w:val="000000"/>
          <w:szCs w:val="29"/>
        </w:rPr>
        <w:t xml:space="preserve"> has emerged as the central DNA polymerase for the bypass of the vast majority of DNA lesions formed in eukaryotic cells from genotoxic agents such as sunlight and environmental pollutants.</w:t>
      </w:r>
      <w:r w:rsidR="00CE7BE4" w:rsidRPr="006556E1">
        <w:rPr>
          <w:rFonts w:cs="Arial"/>
          <w:color w:val="000000"/>
          <w:szCs w:val="29"/>
        </w:rPr>
        <w:t xml:space="preserve"> </w:t>
      </w:r>
      <w:r w:rsidR="00D44735" w:rsidRPr="006556E1">
        <w:rPr>
          <w:rFonts w:cs="Arial"/>
          <w:color w:val="000000"/>
          <w:szCs w:val="29"/>
        </w:rPr>
        <w:t xml:space="preserve">Despite its </w:t>
      </w:r>
      <w:r w:rsidR="00724097" w:rsidRPr="006556E1">
        <w:rPr>
          <w:rFonts w:cs="Arial"/>
          <w:color w:val="000000"/>
          <w:szCs w:val="29"/>
        </w:rPr>
        <w:t xml:space="preserve">discovery </w:t>
      </w:r>
      <w:r w:rsidR="00D44735" w:rsidRPr="006556E1">
        <w:rPr>
          <w:rFonts w:cs="Arial"/>
          <w:color w:val="000000"/>
          <w:szCs w:val="29"/>
        </w:rPr>
        <w:t>&gt;</w:t>
      </w:r>
      <w:r w:rsidR="005806BE">
        <w:rPr>
          <w:rFonts w:cs="Arial"/>
          <w:color w:val="000000"/>
          <w:szCs w:val="29"/>
        </w:rPr>
        <w:t>2</w:t>
      </w:r>
      <w:r w:rsidR="00D44735" w:rsidRPr="006556E1">
        <w:rPr>
          <w:rFonts w:cs="Arial"/>
          <w:color w:val="000000"/>
          <w:szCs w:val="29"/>
        </w:rPr>
        <w:t>0 years ago, there is still no structural understanding of how Pol ζ is organized and the mechanism by which it can bypass the diverse array of DNA lesions in cells.</w:t>
      </w:r>
      <w:r w:rsidR="00095A05" w:rsidRPr="006556E1">
        <w:rPr>
          <w:rFonts w:cs="Arial"/>
          <w:color w:val="000000"/>
          <w:szCs w:val="29"/>
        </w:rPr>
        <w:t xml:space="preserve"> </w:t>
      </w:r>
      <w:r w:rsidR="007D77C5" w:rsidRPr="006556E1">
        <w:rPr>
          <w:rFonts w:cs="Arial"/>
          <w:color w:val="000000"/>
          <w:szCs w:val="29"/>
        </w:rPr>
        <w:t xml:space="preserve">Through our </w:t>
      </w:r>
      <w:r w:rsidR="00C84D18" w:rsidRPr="006556E1">
        <w:rPr>
          <w:rFonts w:cs="Arial"/>
          <w:color w:val="000000"/>
          <w:szCs w:val="29"/>
        </w:rPr>
        <w:t xml:space="preserve">high resolution </w:t>
      </w:r>
      <w:r w:rsidR="007D77C5" w:rsidRPr="006556E1">
        <w:rPr>
          <w:rFonts w:cs="Arial"/>
          <w:color w:val="000000"/>
          <w:szCs w:val="29"/>
        </w:rPr>
        <w:t xml:space="preserve">structural work, we </w:t>
      </w:r>
      <w:r w:rsidR="003650E0" w:rsidRPr="006556E1">
        <w:rPr>
          <w:rFonts w:cs="Arial"/>
          <w:color w:val="000000"/>
          <w:szCs w:val="29"/>
        </w:rPr>
        <w:t xml:space="preserve">seek </w:t>
      </w:r>
      <w:r w:rsidR="007D77C5" w:rsidRPr="006556E1">
        <w:rPr>
          <w:rFonts w:cs="Arial"/>
          <w:color w:val="000000"/>
          <w:szCs w:val="29"/>
        </w:rPr>
        <w:t>to decipher the mechanism of action of this critical enzyme.</w:t>
      </w:r>
      <w:r w:rsidRPr="006556E1">
        <w:rPr>
          <w:rFonts w:cs="Arial"/>
          <w:color w:val="000000"/>
          <w:szCs w:val="29"/>
        </w:rPr>
        <w:t xml:space="preserve"> </w:t>
      </w:r>
    </w:p>
    <w:p w14:paraId="24BA96F0" w14:textId="4D9EFE2D" w:rsidR="00A32696" w:rsidRPr="006556E1" w:rsidRDefault="00E31A0B" w:rsidP="00242E68">
      <w:pPr>
        <w:pStyle w:val="ListParagraph"/>
        <w:widowControl w:val="0"/>
        <w:adjustRightInd w:val="0"/>
        <w:spacing w:line="0" w:lineRule="atLeast"/>
        <w:jc w:val="both"/>
        <w:rPr>
          <w:rFonts w:ascii="Times" w:hAnsi="Times" w:cs="Times"/>
          <w:color w:val="000000"/>
          <w:sz w:val="24"/>
        </w:rPr>
      </w:pPr>
      <w:r w:rsidRPr="006556E1">
        <w:rPr>
          <w:rFonts w:cs="Arial"/>
          <w:color w:val="000000"/>
          <w:szCs w:val="29"/>
        </w:rPr>
        <w:t xml:space="preserve">In addition, I was involved in solving the structure of a unique DNA polymerase, </w:t>
      </w:r>
      <w:proofErr w:type="spellStart"/>
      <w:r w:rsidRPr="006556E1">
        <w:rPr>
          <w:rFonts w:cs="Arial"/>
          <w:color w:val="000000"/>
          <w:szCs w:val="29"/>
        </w:rPr>
        <w:t>PrimPol</w:t>
      </w:r>
      <w:proofErr w:type="spellEnd"/>
      <w:r w:rsidRPr="006556E1">
        <w:rPr>
          <w:rFonts w:cs="Arial"/>
          <w:color w:val="000000"/>
          <w:szCs w:val="29"/>
        </w:rPr>
        <w:t xml:space="preserve"> through X-ray crystallographic approaches. This </w:t>
      </w:r>
      <w:r w:rsidR="000D637C">
        <w:rPr>
          <w:rFonts w:cs="Arial"/>
          <w:color w:val="000000"/>
          <w:szCs w:val="29"/>
        </w:rPr>
        <w:t xml:space="preserve">structure of the DNA-bound form of </w:t>
      </w:r>
      <w:proofErr w:type="spellStart"/>
      <w:r w:rsidR="000D637C">
        <w:rPr>
          <w:rFonts w:cs="Arial"/>
          <w:color w:val="000000"/>
          <w:szCs w:val="29"/>
        </w:rPr>
        <w:t>PrimPol</w:t>
      </w:r>
      <w:proofErr w:type="spellEnd"/>
      <w:r w:rsidRPr="006556E1">
        <w:rPr>
          <w:rFonts w:cs="Arial"/>
          <w:color w:val="000000"/>
          <w:szCs w:val="29"/>
        </w:rPr>
        <w:t xml:space="preserve"> addresses how DNA primases actually initiate synthesis and how primase and polymerase activities combine in a single enzyme to carry out DNA synthesis.</w:t>
      </w:r>
    </w:p>
    <w:p w14:paraId="6A6DE9CB" w14:textId="77777777" w:rsidR="00E31A0B" w:rsidRPr="00E31A0B" w:rsidRDefault="00E31A0B" w:rsidP="00E31A0B">
      <w:pPr>
        <w:pStyle w:val="ListParagraph"/>
        <w:widowControl w:val="0"/>
        <w:adjustRightInd w:val="0"/>
        <w:spacing w:line="0" w:lineRule="atLeast"/>
        <w:rPr>
          <w:rFonts w:ascii="Times" w:hAnsi="Times" w:cs="Times"/>
          <w:color w:val="000000"/>
          <w:sz w:val="24"/>
        </w:rPr>
      </w:pPr>
    </w:p>
    <w:p w14:paraId="26CDA499" w14:textId="3EE8EF86" w:rsidR="002C3480" w:rsidRDefault="002C3480" w:rsidP="00E31A0B">
      <w:pPr>
        <w:pStyle w:val="ListParagraph"/>
        <w:widowControl w:val="0"/>
        <w:numPr>
          <w:ilvl w:val="0"/>
          <w:numId w:val="30"/>
        </w:numPr>
        <w:adjustRightInd w:val="0"/>
        <w:spacing w:line="280" w:lineRule="atLeast"/>
        <w:rPr>
          <w:rFonts w:cs="Arial"/>
          <w:color w:val="000000"/>
          <w:szCs w:val="22"/>
        </w:rPr>
      </w:pPr>
      <w:r w:rsidRPr="002C3480">
        <w:rPr>
          <w:rFonts w:cs="Arial"/>
          <w:b/>
          <w:color w:val="000000"/>
          <w:szCs w:val="22"/>
        </w:rPr>
        <w:t>Malik, R.</w:t>
      </w:r>
      <w:r>
        <w:rPr>
          <w:rFonts w:cs="Arial"/>
          <w:color w:val="000000"/>
          <w:szCs w:val="22"/>
        </w:rPr>
        <w:t xml:space="preserve">, </w:t>
      </w:r>
      <w:proofErr w:type="spellStart"/>
      <w:r>
        <w:rPr>
          <w:rFonts w:cs="Arial"/>
          <w:color w:val="000000"/>
          <w:szCs w:val="22"/>
        </w:rPr>
        <w:t>Kopylov</w:t>
      </w:r>
      <w:proofErr w:type="spellEnd"/>
      <w:r>
        <w:rPr>
          <w:rFonts w:cs="Arial"/>
          <w:color w:val="000000"/>
          <w:szCs w:val="22"/>
        </w:rPr>
        <w:t xml:space="preserve">, M., Gomez, Y., Jain, R., Johnson, R. E., </w:t>
      </w:r>
      <w:r w:rsidR="00411FF8">
        <w:rPr>
          <w:rFonts w:cs="Arial"/>
          <w:color w:val="000000"/>
          <w:szCs w:val="22"/>
        </w:rPr>
        <w:t xml:space="preserve">Prakash, L. Prakash, S. </w:t>
      </w:r>
      <w:proofErr w:type="spellStart"/>
      <w:r w:rsidR="00411FF8">
        <w:rPr>
          <w:rFonts w:cs="Arial"/>
          <w:color w:val="000000"/>
          <w:szCs w:val="22"/>
        </w:rPr>
        <w:t>Ubarretxena</w:t>
      </w:r>
      <w:proofErr w:type="spellEnd"/>
      <w:r w:rsidR="00411FF8">
        <w:rPr>
          <w:rFonts w:cs="Arial"/>
          <w:color w:val="000000"/>
          <w:szCs w:val="22"/>
        </w:rPr>
        <w:t xml:space="preserve">, I. B., Aggarwal, A. K. “Structure and mechanism of B-family DNA polymerase Zeta specialized for </w:t>
      </w:r>
      <w:proofErr w:type="spellStart"/>
      <w:r w:rsidR="00411FF8">
        <w:rPr>
          <w:rFonts w:cs="Arial"/>
          <w:color w:val="000000"/>
          <w:szCs w:val="22"/>
        </w:rPr>
        <w:lastRenderedPageBreak/>
        <w:t>translesion</w:t>
      </w:r>
      <w:proofErr w:type="spellEnd"/>
      <w:r w:rsidR="00411FF8">
        <w:rPr>
          <w:rFonts w:cs="Arial"/>
          <w:color w:val="000000"/>
          <w:szCs w:val="22"/>
        </w:rPr>
        <w:t xml:space="preserve"> DNA synthesis” Nature Structural and Molecular Biology 2020</w:t>
      </w:r>
      <w:r w:rsidR="00891E9F">
        <w:rPr>
          <w:rFonts w:cs="Arial"/>
          <w:color w:val="000000"/>
          <w:szCs w:val="22"/>
        </w:rPr>
        <w:t>, 27, 913-924.</w:t>
      </w:r>
    </w:p>
    <w:p w14:paraId="148A1BEE" w14:textId="4EA83A33" w:rsidR="001068D7" w:rsidRPr="00E31A0B" w:rsidRDefault="004424A0" w:rsidP="00E31A0B">
      <w:pPr>
        <w:pStyle w:val="ListParagraph"/>
        <w:widowControl w:val="0"/>
        <w:numPr>
          <w:ilvl w:val="0"/>
          <w:numId w:val="30"/>
        </w:numPr>
        <w:adjustRightInd w:val="0"/>
        <w:spacing w:line="280" w:lineRule="atLeast"/>
        <w:rPr>
          <w:rFonts w:cs="Arial"/>
          <w:color w:val="000000"/>
          <w:szCs w:val="22"/>
        </w:rPr>
      </w:pPr>
      <w:r w:rsidRPr="001068D7">
        <w:rPr>
          <w:rFonts w:cs="Arial"/>
          <w:color w:val="000000"/>
          <w:szCs w:val="22"/>
        </w:rPr>
        <w:t xml:space="preserve">Gomez, Y.*, </w:t>
      </w:r>
      <w:r w:rsidRPr="001068D7">
        <w:rPr>
          <w:rFonts w:cs="Arial"/>
          <w:b/>
          <w:bCs/>
          <w:color w:val="000000"/>
          <w:szCs w:val="22"/>
        </w:rPr>
        <w:t>Malik, R</w:t>
      </w:r>
      <w:r w:rsidRPr="001068D7">
        <w:rPr>
          <w:rFonts w:cs="Arial"/>
          <w:color w:val="000000"/>
          <w:szCs w:val="22"/>
        </w:rPr>
        <w:t xml:space="preserve">.*, Jain, R., Choudhary, J., Johnson, R. E., Prakash, L., Prakash, S., </w:t>
      </w:r>
      <w:proofErr w:type="spellStart"/>
      <w:r w:rsidRPr="001068D7">
        <w:rPr>
          <w:rFonts w:cs="Arial"/>
          <w:color w:val="000000"/>
          <w:szCs w:val="22"/>
        </w:rPr>
        <w:t>Ubarretxena</w:t>
      </w:r>
      <w:proofErr w:type="spellEnd"/>
      <w:r w:rsidRPr="001068D7">
        <w:rPr>
          <w:rFonts w:cs="Arial"/>
          <w:color w:val="000000"/>
          <w:szCs w:val="22"/>
        </w:rPr>
        <w:t xml:space="preserve">, I.B., Aggarwal, A. K. “The architecture of yeast polymerase Zeta” Cell reports 2013, 5(1), 79-86. </w:t>
      </w:r>
      <w:r w:rsidRPr="001068D7">
        <w:rPr>
          <w:rFonts w:ascii="MS Mincho" w:eastAsia="MS Mincho" w:hAnsi="MS Mincho" w:cs="MS Mincho"/>
          <w:color w:val="000000"/>
          <w:szCs w:val="22"/>
        </w:rPr>
        <w:t> </w:t>
      </w:r>
    </w:p>
    <w:p w14:paraId="70262F1A" w14:textId="4278F218" w:rsidR="007E0769" w:rsidRPr="007E0769" w:rsidRDefault="00A32696" w:rsidP="007E0769">
      <w:pPr>
        <w:pStyle w:val="DataField11pt-Single"/>
        <w:numPr>
          <w:ilvl w:val="0"/>
          <w:numId w:val="30"/>
        </w:numPr>
        <w:rPr>
          <w:bCs/>
        </w:rPr>
      </w:pPr>
      <w:proofErr w:type="spellStart"/>
      <w:r w:rsidRPr="00A32696">
        <w:rPr>
          <w:color w:val="000000"/>
          <w:szCs w:val="22"/>
        </w:rPr>
        <w:t>Rechkoblit</w:t>
      </w:r>
      <w:proofErr w:type="spellEnd"/>
      <w:r w:rsidRPr="00A32696">
        <w:rPr>
          <w:color w:val="000000"/>
          <w:szCs w:val="22"/>
        </w:rPr>
        <w:t xml:space="preserve">, O.*, Gupta, Y.*, </w:t>
      </w:r>
      <w:r w:rsidRPr="00A32696">
        <w:rPr>
          <w:b/>
          <w:bCs/>
          <w:color w:val="000000"/>
          <w:szCs w:val="22"/>
        </w:rPr>
        <w:t>Malik, R</w:t>
      </w:r>
      <w:r w:rsidRPr="00A32696">
        <w:rPr>
          <w:color w:val="000000"/>
          <w:szCs w:val="22"/>
        </w:rPr>
        <w:t xml:space="preserve">.*, </w:t>
      </w:r>
      <w:proofErr w:type="spellStart"/>
      <w:r w:rsidRPr="00A32696">
        <w:rPr>
          <w:color w:val="000000"/>
          <w:szCs w:val="22"/>
        </w:rPr>
        <w:t>Rajashankar</w:t>
      </w:r>
      <w:proofErr w:type="spellEnd"/>
      <w:r w:rsidRPr="00A32696">
        <w:rPr>
          <w:color w:val="000000"/>
          <w:szCs w:val="22"/>
        </w:rPr>
        <w:t xml:space="preserve">, K., Johnson, R., Prakash, L., </w:t>
      </w:r>
      <w:r w:rsidRPr="00A32696">
        <w:rPr>
          <w:rFonts w:ascii="MS Mincho" w:eastAsia="MS Mincho" w:hAnsi="MS Mincho" w:cs="MS Mincho"/>
          <w:color w:val="000000"/>
          <w:szCs w:val="22"/>
        </w:rPr>
        <w:t> </w:t>
      </w:r>
      <w:r w:rsidRPr="00A32696">
        <w:rPr>
          <w:color w:val="000000"/>
          <w:szCs w:val="22"/>
        </w:rPr>
        <w:t xml:space="preserve">Prakash, S., Aggarwal, A. K. “Structure and mechanism of human </w:t>
      </w:r>
      <w:proofErr w:type="spellStart"/>
      <w:r w:rsidRPr="00A32696">
        <w:rPr>
          <w:color w:val="000000"/>
          <w:szCs w:val="22"/>
        </w:rPr>
        <w:t>PrimPol</w:t>
      </w:r>
      <w:proofErr w:type="spellEnd"/>
      <w:r w:rsidRPr="00A32696">
        <w:rPr>
          <w:color w:val="000000"/>
          <w:szCs w:val="22"/>
        </w:rPr>
        <w:t>, a DNA polymerase with primase activity” Science Advances 2016, 2(10), 1-7.</w:t>
      </w:r>
    </w:p>
    <w:p w14:paraId="0E084C9F" w14:textId="77777777" w:rsidR="007E0769" w:rsidRDefault="007E0769" w:rsidP="007E0769">
      <w:pPr>
        <w:pStyle w:val="DataField11pt-Single"/>
        <w:ind w:left="1200"/>
        <w:rPr>
          <w:bCs/>
        </w:rPr>
      </w:pPr>
    </w:p>
    <w:p w14:paraId="01E846A1" w14:textId="7379ADD6" w:rsidR="007E0769" w:rsidRDefault="007E0769" w:rsidP="007E0769">
      <w:pPr>
        <w:pStyle w:val="DataField11pt-Single"/>
        <w:numPr>
          <w:ilvl w:val="0"/>
          <w:numId w:val="21"/>
        </w:numPr>
        <w:rPr>
          <w:bCs/>
        </w:rPr>
      </w:pPr>
      <w:r w:rsidRPr="007E0769">
        <w:rPr>
          <w:b/>
          <w:color w:val="000000"/>
          <w:szCs w:val="22"/>
        </w:rPr>
        <w:t xml:space="preserve">Other </w:t>
      </w:r>
      <w:r w:rsidR="00AA1117">
        <w:rPr>
          <w:b/>
          <w:color w:val="000000"/>
          <w:szCs w:val="22"/>
        </w:rPr>
        <w:t xml:space="preserve">scientific </w:t>
      </w:r>
      <w:r w:rsidRPr="007E0769">
        <w:rPr>
          <w:b/>
          <w:color w:val="000000"/>
          <w:szCs w:val="22"/>
        </w:rPr>
        <w:t>contributions</w:t>
      </w:r>
      <w:r>
        <w:rPr>
          <w:b/>
          <w:color w:val="000000"/>
          <w:szCs w:val="22"/>
        </w:rPr>
        <w:t xml:space="preserve">. </w:t>
      </w:r>
      <w:r w:rsidRPr="007E0769">
        <w:rPr>
          <w:color w:val="000000"/>
          <w:szCs w:val="22"/>
        </w:rPr>
        <w:t>I was part of the cryo-EM team to solve the following structures</w:t>
      </w:r>
      <w:r>
        <w:rPr>
          <w:color w:val="000000"/>
          <w:szCs w:val="22"/>
        </w:rPr>
        <w:t>.</w:t>
      </w:r>
      <w:r w:rsidRPr="007E0769">
        <w:rPr>
          <w:bCs/>
        </w:rPr>
        <w:t xml:space="preserve">  </w:t>
      </w:r>
    </w:p>
    <w:p w14:paraId="62D321DA" w14:textId="77777777" w:rsidR="007E0769" w:rsidRPr="007E0769" w:rsidRDefault="007E0769" w:rsidP="007E0769">
      <w:pPr>
        <w:pStyle w:val="DataField11pt-Single"/>
        <w:rPr>
          <w:bCs/>
        </w:rPr>
      </w:pPr>
    </w:p>
    <w:p w14:paraId="58C6A600" w14:textId="5EC8DF33" w:rsidR="007E0769" w:rsidRDefault="007E0769" w:rsidP="007E0769">
      <w:pPr>
        <w:pStyle w:val="DataField11pt-Single"/>
        <w:numPr>
          <w:ilvl w:val="0"/>
          <w:numId w:val="34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Jain, R. William, R. </w:t>
      </w:r>
      <w:r w:rsidRPr="00CA42ED">
        <w:rPr>
          <w:rStyle w:val="Strong"/>
        </w:rPr>
        <w:t>Malik, R</w:t>
      </w:r>
      <w:r>
        <w:rPr>
          <w:rStyle w:val="Strong"/>
          <w:b w:val="0"/>
        </w:rPr>
        <w:t xml:space="preserve">., Johnson, R. E., Prakash, L., Prakash, S. </w:t>
      </w:r>
      <w:proofErr w:type="spellStart"/>
      <w:r>
        <w:rPr>
          <w:rStyle w:val="Strong"/>
          <w:b w:val="0"/>
        </w:rPr>
        <w:t>Ubarretxena</w:t>
      </w:r>
      <w:proofErr w:type="spellEnd"/>
      <w:r>
        <w:rPr>
          <w:rStyle w:val="Strong"/>
          <w:b w:val="0"/>
        </w:rPr>
        <w:t xml:space="preserve">, I. B., Aggarwal, A. K. Cryo-EM structure and dynamics of eukaryotic DNA polymerase </w:t>
      </w:r>
      <w:r>
        <w:rPr>
          <w:rStyle w:val="Strong"/>
          <w:b w:val="0"/>
        </w:rPr>
        <w:sym w:font="Symbol" w:char="F064"/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holo</w:t>
      </w:r>
      <w:r w:rsidR="00242E68">
        <w:rPr>
          <w:rStyle w:val="Strong"/>
          <w:b w:val="0"/>
        </w:rPr>
        <w:t>e</w:t>
      </w:r>
      <w:r>
        <w:rPr>
          <w:rStyle w:val="Strong"/>
          <w:b w:val="0"/>
        </w:rPr>
        <w:t>enzyme</w:t>
      </w:r>
      <w:proofErr w:type="spellEnd"/>
      <w:r>
        <w:rPr>
          <w:rStyle w:val="Strong"/>
          <w:b w:val="0"/>
        </w:rPr>
        <w:t xml:space="preserve"> Nature Structural and Molecular Biology 2019, 26, 955-962.</w:t>
      </w:r>
    </w:p>
    <w:p w14:paraId="57DB26DD" w14:textId="5F16E46D" w:rsidR="007E0769" w:rsidRDefault="007E0769" w:rsidP="007E0769">
      <w:pPr>
        <w:pStyle w:val="DataField11pt-Single"/>
        <w:numPr>
          <w:ilvl w:val="0"/>
          <w:numId w:val="34"/>
        </w:numPr>
        <w:jc w:val="both"/>
        <w:rPr>
          <w:rStyle w:val="Strong"/>
          <w:b w:val="0"/>
        </w:rPr>
      </w:pPr>
      <w:bookmarkStart w:id="1" w:name="OLE_LINK20"/>
      <w:bookmarkStart w:id="2" w:name="OLE_LINK21"/>
      <w:r>
        <w:rPr>
          <w:rStyle w:val="Strong"/>
          <w:b w:val="0"/>
        </w:rPr>
        <w:t xml:space="preserve">Gomez, Y.*, </w:t>
      </w:r>
      <w:proofErr w:type="spellStart"/>
      <w:r>
        <w:rPr>
          <w:rStyle w:val="Strong"/>
          <w:b w:val="0"/>
        </w:rPr>
        <w:t>Jebara</w:t>
      </w:r>
      <w:proofErr w:type="spellEnd"/>
      <w:r>
        <w:rPr>
          <w:rStyle w:val="Strong"/>
          <w:b w:val="0"/>
        </w:rPr>
        <w:t xml:space="preserve">, F.*, Patra, M.*, </w:t>
      </w:r>
      <w:r w:rsidRPr="005C552E">
        <w:rPr>
          <w:rStyle w:val="Strong"/>
        </w:rPr>
        <w:t>Malik, R</w:t>
      </w:r>
      <w:r>
        <w:rPr>
          <w:rStyle w:val="Strong"/>
          <w:b w:val="0"/>
        </w:rPr>
        <w:t xml:space="preserve">., </w:t>
      </w:r>
      <w:proofErr w:type="spellStart"/>
      <w:r>
        <w:rPr>
          <w:rStyle w:val="Strong"/>
          <w:b w:val="0"/>
        </w:rPr>
        <w:t>Nisemblat</w:t>
      </w:r>
      <w:proofErr w:type="spellEnd"/>
      <w:r>
        <w:rPr>
          <w:rStyle w:val="Strong"/>
          <w:b w:val="0"/>
        </w:rPr>
        <w:t xml:space="preserve">, S., Hecht, O., </w:t>
      </w:r>
      <w:proofErr w:type="spellStart"/>
      <w:r>
        <w:rPr>
          <w:rStyle w:val="Strong"/>
          <w:b w:val="0"/>
        </w:rPr>
        <w:t>Parnas</w:t>
      </w:r>
      <w:proofErr w:type="spellEnd"/>
      <w:r>
        <w:rPr>
          <w:rStyle w:val="Strong"/>
          <w:b w:val="0"/>
        </w:rPr>
        <w:t xml:space="preserve">, A., </w:t>
      </w:r>
      <w:proofErr w:type="spellStart"/>
      <w:r>
        <w:rPr>
          <w:rStyle w:val="Strong"/>
          <w:b w:val="0"/>
        </w:rPr>
        <w:t>Azem</w:t>
      </w:r>
      <w:proofErr w:type="spellEnd"/>
      <w:r>
        <w:rPr>
          <w:rStyle w:val="Strong"/>
          <w:b w:val="0"/>
        </w:rPr>
        <w:t xml:space="preserve">, A., Hirsch, J., </w:t>
      </w:r>
      <w:proofErr w:type="spellStart"/>
      <w:r>
        <w:rPr>
          <w:rStyle w:val="Strong"/>
          <w:b w:val="0"/>
        </w:rPr>
        <w:t>Ubarretxena</w:t>
      </w:r>
      <w:proofErr w:type="spellEnd"/>
      <w:r>
        <w:rPr>
          <w:rStyle w:val="Strong"/>
          <w:b w:val="0"/>
        </w:rPr>
        <w:t xml:space="preserve">, I. B. Structural basis for coexisting active single and double ring complexes in the reaction cycle of the human mitochondrial Hsp60-Hsp10 chaperonin. Nature communications </w:t>
      </w:r>
      <w:r w:rsidR="00A62422">
        <w:rPr>
          <w:rStyle w:val="Strong"/>
          <w:b w:val="0"/>
        </w:rPr>
        <w:t>2020, 11, 1-14</w:t>
      </w:r>
      <w:r>
        <w:rPr>
          <w:rStyle w:val="Strong"/>
          <w:b w:val="0"/>
        </w:rPr>
        <w:t xml:space="preserve">. </w:t>
      </w:r>
    </w:p>
    <w:bookmarkEnd w:id="1"/>
    <w:bookmarkEnd w:id="2"/>
    <w:p w14:paraId="0D6ED676" w14:textId="1E0EE361" w:rsidR="007E0769" w:rsidRDefault="007E0769" w:rsidP="007E0769">
      <w:pPr>
        <w:pStyle w:val="DataField11pt-Single"/>
        <w:ind w:left="1080"/>
        <w:jc w:val="both"/>
        <w:rPr>
          <w:rFonts w:cs="Tahoma"/>
          <w:bCs/>
          <w:color w:val="000000"/>
          <w:szCs w:val="32"/>
        </w:rPr>
      </w:pPr>
      <w:r w:rsidRPr="001068D7">
        <w:rPr>
          <w:rFonts w:cs="Tahoma"/>
          <w:color w:val="000000"/>
          <w:szCs w:val="32"/>
        </w:rPr>
        <w:t>*</w:t>
      </w:r>
      <w:r w:rsidRPr="001068D7">
        <w:rPr>
          <w:rFonts w:cs="Tahoma"/>
          <w:bCs/>
          <w:color w:val="000000"/>
          <w:szCs w:val="32"/>
        </w:rPr>
        <w:t>The authors have contributed equally to this work</w:t>
      </w:r>
    </w:p>
    <w:p w14:paraId="1ABAF103" w14:textId="10BCC34E" w:rsidR="00AA1117" w:rsidRDefault="00AA1117" w:rsidP="007E0769">
      <w:pPr>
        <w:pStyle w:val="DataField11pt-Single"/>
        <w:ind w:left="1080"/>
        <w:jc w:val="both"/>
        <w:rPr>
          <w:rStyle w:val="Strong"/>
          <w:b w:val="0"/>
        </w:rPr>
      </w:pPr>
    </w:p>
    <w:p w14:paraId="0A7E6FDE" w14:textId="0DC0FC36" w:rsidR="00B4087B" w:rsidRDefault="00AB49D0" w:rsidP="00B4087B">
      <w:pPr>
        <w:pStyle w:val="DataField11pt-Single"/>
        <w:numPr>
          <w:ilvl w:val="0"/>
          <w:numId w:val="21"/>
        </w:numPr>
        <w:jc w:val="both"/>
        <w:rPr>
          <w:rStyle w:val="Strong"/>
        </w:rPr>
      </w:pPr>
      <w:r w:rsidRPr="006410E0">
        <w:rPr>
          <w:rStyle w:val="Strong"/>
        </w:rPr>
        <w:t>Recent t</w:t>
      </w:r>
      <w:r w:rsidR="00AA1117" w:rsidRPr="006410E0">
        <w:rPr>
          <w:rStyle w:val="Strong"/>
        </w:rPr>
        <w:t>eaching contribution</w:t>
      </w:r>
      <w:r w:rsidR="00DA7016">
        <w:rPr>
          <w:rStyle w:val="Strong"/>
        </w:rPr>
        <w:t>s</w:t>
      </w:r>
      <w:r w:rsidR="00B4087B">
        <w:rPr>
          <w:rStyle w:val="Strong"/>
        </w:rPr>
        <w:t>.</w:t>
      </w:r>
      <w:r w:rsidR="00B4087B" w:rsidRPr="00B4087B">
        <w:rPr>
          <w:rStyle w:val="Strong"/>
          <w:b w:val="0"/>
        </w:rPr>
        <w:t xml:space="preserve"> I have been teaching the </w:t>
      </w:r>
      <w:r w:rsidR="008C3116">
        <w:rPr>
          <w:rStyle w:val="Strong"/>
          <w:b w:val="0"/>
        </w:rPr>
        <w:t>cryo-EM lecture</w:t>
      </w:r>
      <w:r w:rsidR="00B4087B" w:rsidRPr="00B4087B">
        <w:rPr>
          <w:rStyle w:val="Strong"/>
          <w:b w:val="0"/>
        </w:rPr>
        <w:t xml:space="preserve"> at </w:t>
      </w:r>
      <w:r w:rsidR="00F73AAE">
        <w:rPr>
          <w:rStyle w:val="Strong"/>
          <w:b w:val="0"/>
        </w:rPr>
        <w:t>ISMMS</w:t>
      </w:r>
      <w:r w:rsidR="0077127E">
        <w:rPr>
          <w:rStyle w:val="Strong"/>
          <w:b w:val="0"/>
        </w:rPr>
        <w:t xml:space="preserve"> for the past t</w:t>
      </w:r>
      <w:r w:rsidR="002C3480">
        <w:rPr>
          <w:rStyle w:val="Strong"/>
          <w:b w:val="0"/>
        </w:rPr>
        <w:t>hree</w:t>
      </w:r>
      <w:r w:rsidR="0077127E">
        <w:rPr>
          <w:rStyle w:val="Strong"/>
          <w:b w:val="0"/>
        </w:rPr>
        <w:t xml:space="preserve"> years</w:t>
      </w:r>
      <w:r w:rsidR="00B4087B">
        <w:rPr>
          <w:rStyle w:val="Strong"/>
          <w:b w:val="0"/>
        </w:rPr>
        <w:t>.</w:t>
      </w:r>
    </w:p>
    <w:p w14:paraId="715980F9" w14:textId="77777777" w:rsidR="00B4087B" w:rsidRDefault="00B4087B" w:rsidP="00B4087B">
      <w:pPr>
        <w:pStyle w:val="DataField11pt-Single"/>
        <w:ind w:left="720"/>
        <w:jc w:val="both"/>
        <w:rPr>
          <w:rStyle w:val="Strong"/>
        </w:rPr>
      </w:pPr>
    </w:p>
    <w:p w14:paraId="6890375C" w14:textId="0AC480F9" w:rsidR="00B4087B" w:rsidRPr="00B4087B" w:rsidRDefault="00B4087B" w:rsidP="00B4087B">
      <w:pPr>
        <w:pStyle w:val="DataField11pt-Single"/>
        <w:ind w:left="720"/>
        <w:jc w:val="both"/>
        <w:rPr>
          <w:rStyle w:val="Strong"/>
        </w:rPr>
      </w:pPr>
      <w:r w:rsidRPr="00B4087B">
        <w:rPr>
          <w:rStyle w:val="Strong"/>
          <w:b w:val="0"/>
        </w:rPr>
        <w:t>2019</w:t>
      </w:r>
      <w:r w:rsidR="002C3480">
        <w:rPr>
          <w:rStyle w:val="Strong"/>
          <w:b w:val="0"/>
        </w:rPr>
        <w:t>-2021</w:t>
      </w:r>
      <w:r w:rsidR="00725D56">
        <w:rPr>
          <w:rStyle w:val="Strong"/>
          <w:b w:val="0"/>
        </w:rPr>
        <w:t xml:space="preserve"> - </w:t>
      </w:r>
      <w:r w:rsidRPr="00B4087B">
        <w:rPr>
          <w:rStyle w:val="Strong"/>
          <w:b w:val="0"/>
        </w:rPr>
        <w:t>Cryo-EM section entitled “High-resolution cryo-EM in drug discovery” in the course “Structural and</w:t>
      </w:r>
      <w:r>
        <w:rPr>
          <w:rStyle w:val="Strong"/>
          <w:b w:val="0"/>
        </w:rPr>
        <w:t xml:space="preserve"> Chemical approaches to Pharmacology and Drug Discovery (BSR2108)</w:t>
      </w:r>
      <w:r w:rsidR="00725D56">
        <w:rPr>
          <w:rStyle w:val="Strong"/>
          <w:b w:val="0"/>
        </w:rPr>
        <w:t>.</w:t>
      </w:r>
      <w:r w:rsidRPr="006410E0">
        <w:rPr>
          <w:rStyle w:val="Strong"/>
          <w:b w:val="0"/>
        </w:rPr>
        <w:t xml:space="preserve"> </w:t>
      </w:r>
    </w:p>
    <w:p w14:paraId="7FA8B5A3" w14:textId="77777777" w:rsidR="00B4087B" w:rsidRPr="006410E0" w:rsidRDefault="00B4087B" w:rsidP="00B4087B">
      <w:pPr>
        <w:pStyle w:val="DataField11pt-Single"/>
        <w:rPr>
          <w:rStyle w:val="Strong"/>
          <w:b w:val="0"/>
        </w:rPr>
      </w:pPr>
    </w:p>
    <w:p w14:paraId="064D19AA" w14:textId="77777777" w:rsidR="00B4087B" w:rsidRPr="00A128A0" w:rsidRDefault="00B4087B" w:rsidP="00B4087B">
      <w:pPr>
        <w:pStyle w:val="DataField11pt-Single"/>
        <w:rPr>
          <w:rStyle w:val="Strong"/>
        </w:rPr>
      </w:pPr>
    </w:p>
    <w:p w14:paraId="56DE5484" w14:textId="77777777" w:rsidR="00B4087B" w:rsidRPr="00E03323" w:rsidRDefault="00B4087B" w:rsidP="00B4087B">
      <w:pPr>
        <w:pStyle w:val="DataField11pt-Single"/>
        <w:rPr>
          <w:rStyle w:val="Strong"/>
          <w:b w:val="0"/>
        </w:rPr>
      </w:pPr>
    </w:p>
    <w:p w14:paraId="376BD3F7" w14:textId="0E10F34D" w:rsidR="00B4087B" w:rsidRDefault="00B4087B" w:rsidP="00B4087B">
      <w:pPr>
        <w:pStyle w:val="DataField11pt-Single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</w:p>
    <w:p w14:paraId="5CE1EAD0" w14:textId="7D2BBAF6" w:rsidR="002C51BC" w:rsidRPr="00A128A0" w:rsidRDefault="00B4087B" w:rsidP="00B4087B">
      <w:pPr>
        <w:pStyle w:val="DataField11pt-Single"/>
        <w:ind w:left="900"/>
        <w:jc w:val="both"/>
        <w:rPr>
          <w:rStyle w:val="Strong"/>
        </w:rPr>
      </w:pPr>
      <w:r>
        <w:rPr>
          <w:rStyle w:val="Strong"/>
          <w:b w:val="0"/>
        </w:rPr>
        <w:t xml:space="preserve">                     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BD712" w14:textId="77777777" w:rsidR="00877271" w:rsidRDefault="00877271">
      <w:r>
        <w:separator/>
      </w:r>
    </w:p>
  </w:endnote>
  <w:endnote w:type="continuationSeparator" w:id="0">
    <w:p w14:paraId="71053477" w14:textId="77777777" w:rsidR="00877271" w:rsidRDefault="0087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86EF" w14:textId="77777777" w:rsidR="00877271" w:rsidRDefault="00877271">
      <w:r>
        <w:separator/>
      </w:r>
    </w:p>
  </w:footnote>
  <w:footnote w:type="continuationSeparator" w:id="0">
    <w:p w14:paraId="0A63E1F4" w14:textId="77777777" w:rsidR="00877271" w:rsidRDefault="0087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AD7846"/>
    <w:multiLevelType w:val="hybridMultilevel"/>
    <w:tmpl w:val="19F65562"/>
    <w:lvl w:ilvl="0" w:tplc="311C8CF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16F2C"/>
    <w:multiLevelType w:val="hybridMultilevel"/>
    <w:tmpl w:val="CFC42592"/>
    <w:lvl w:ilvl="0" w:tplc="486017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D2D71"/>
    <w:multiLevelType w:val="hybridMultilevel"/>
    <w:tmpl w:val="81BC6742"/>
    <w:lvl w:ilvl="0" w:tplc="F03487D6">
      <w:start w:val="1"/>
      <w:numFmt w:val="lowerLetter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94177CC"/>
    <w:multiLevelType w:val="hybridMultilevel"/>
    <w:tmpl w:val="2964548C"/>
    <w:lvl w:ilvl="0" w:tplc="E9F0188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B3919F2"/>
    <w:multiLevelType w:val="hybridMultilevel"/>
    <w:tmpl w:val="A1FCBD0C"/>
    <w:lvl w:ilvl="0" w:tplc="0D026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814D8"/>
    <w:multiLevelType w:val="hybridMultilevel"/>
    <w:tmpl w:val="4A18F3EE"/>
    <w:lvl w:ilvl="0" w:tplc="BB982FA6">
      <w:start w:val="2019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16ACE"/>
    <w:multiLevelType w:val="hybridMultilevel"/>
    <w:tmpl w:val="7B0CF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091F5C"/>
    <w:multiLevelType w:val="hybridMultilevel"/>
    <w:tmpl w:val="110EB1BC"/>
    <w:lvl w:ilvl="0" w:tplc="C65C5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9490E"/>
    <w:multiLevelType w:val="hybridMultilevel"/>
    <w:tmpl w:val="E4341F46"/>
    <w:lvl w:ilvl="0" w:tplc="16FE5A90">
      <w:start w:val="1"/>
      <w:numFmt w:val="lowerLetter"/>
      <w:lvlText w:val="%1."/>
      <w:lvlJc w:val="left"/>
      <w:pPr>
        <w:ind w:left="1170" w:hanging="360"/>
      </w:pPr>
      <w:rPr>
        <w:rFonts w:ascii="Arial" w:eastAsia="Times New Roman" w:hAnsi="Arial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6ED6F84"/>
    <w:multiLevelType w:val="hybridMultilevel"/>
    <w:tmpl w:val="8C728F60"/>
    <w:lvl w:ilvl="0" w:tplc="E7A09B4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A50F8"/>
    <w:multiLevelType w:val="hybridMultilevel"/>
    <w:tmpl w:val="E7401090"/>
    <w:lvl w:ilvl="0" w:tplc="D26AA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292B02"/>
    <w:multiLevelType w:val="hybridMultilevel"/>
    <w:tmpl w:val="4BBCE0D6"/>
    <w:lvl w:ilvl="0" w:tplc="3E62A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7575484B"/>
    <w:multiLevelType w:val="hybridMultilevel"/>
    <w:tmpl w:val="85324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04E84"/>
    <w:multiLevelType w:val="hybridMultilevel"/>
    <w:tmpl w:val="C7BE417C"/>
    <w:lvl w:ilvl="0" w:tplc="12304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E1FF9"/>
    <w:multiLevelType w:val="hybridMultilevel"/>
    <w:tmpl w:val="85382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3"/>
  </w:num>
  <w:num w:numId="13">
    <w:abstractNumId w:val="17"/>
  </w:num>
  <w:num w:numId="14">
    <w:abstractNumId w:val="31"/>
  </w:num>
  <w:num w:numId="15">
    <w:abstractNumId w:val="27"/>
  </w:num>
  <w:num w:numId="16">
    <w:abstractNumId w:val="30"/>
  </w:num>
  <w:num w:numId="17">
    <w:abstractNumId w:val="13"/>
  </w:num>
  <w:num w:numId="18">
    <w:abstractNumId w:val="21"/>
  </w:num>
  <w:num w:numId="19">
    <w:abstractNumId w:val="32"/>
  </w:num>
  <w:num w:numId="20">
    <w:abstractNumId w:val="26"/>
  </w:num>
  <w:num w:numId="21">
    <w:abstractNumId w:val="19"/>
  </w:num>
  <w:num w:numId="22">
    <w:abstractNumId w:val="25"/>
  </w:num>
  <w:num w:numId="23">
    <w:abstractNumId w:val="10"/>
  </w:num>
  <w:num w:numId="24">
    <w:abstractNumId w:val="29"/>
  </w:num>
  <w:num w:numId="25">
    <w:abstractNumId w:val="18"/>
  </w:num>
  <w:num w:numId="26">
    <w:abstractNumId w:val="11"/>
  </w:num>
  <w:num w:numId="27">
    <w:abstractNumId w:val="12"/>
  </w:num>
  <w:num w:numId="28">
    <w:abstractNumId w:val="22"/>
  </w:num>
  <w:num w:numId="29">
    <w:abstractNumId w:val="15"/>
  </w:num>
  <w:num w:numId="30">
    <w:abstractNumId w:val="28"/>
  </w:num>
  <w:num w:numId="31">
    <w:abstractNumId w:val="16"/>
  </w:num>
  <w:num w:numId="32">
    <w:abstractNumId w:val="14"/>
  </w:num>
  <w:num w:numId="33">
    <w:abstractNumId w:val="34"/>
  </w:num>
  <w:num w:numId="34">
    <w:abstractNumId w:val="24"/>
  </w:num>
  <w:num w:numId="35">
    <w:abstractNumId w:val="3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3503"/>
    <w:rsid w:val="00063BAF"/>
    <w:rsid w:val="00067621"/>
    <w:rsid w:val="00084466"/>
    <w:rsid w:val="00086C76"/>
    <w:rsid w:val="00095A05"/>
    <w:rsid w:val="00095EB2"/>
    <w:rsid w:val="000A16AC"/>
    <w:rsid w:val="000B5AE4"/>
    <w:rsid w:val="000C28BC"/>
    <w:rsid w:val="000D139D"/>
    <w:rsid w:val="000D637C"/>
    <w:rsid w:val="000D70C1"/>
    <w:rsid w:val="000E3BEC"/>
    <w:rsid w:val="000E55F7"/>
    <w:rsid w:val="000F7A89"/>
    <w:rsid w:val="001068D7"/>
    <w:rsid w:val="00122EB3"/>
    <w:rsid w:val="00132CA6"/>
    <w:rsid w:val="0014571A"/>
    <w:rsid w:val="00146A8D"/>
    <w:rsid w:val="00160C83"/>
    <w:rsid w:val="0016396F"/>
    <w:rsid w:val="0016685E"/>
    <w:rsid w:val="00170D87"/>
    <w:rsid w:val="00177D49"/>
    <w:rsid w:val="00183022"/>
    <w:rsid w:val="001B671F"/>
    <w:rsid w:val="001C065C"/>
    <w:rsid w:val="001C1272"/>
    <w:rsid w:val="001F2404"/>
    <w:rsid w:val="00213712"/>
    <w:rsid w:val="00235942"/>
    <w:rsid w:val="00242E68"/>
    <w:rsid w:val="00246FAE"/>
    <w:rsid w:val="002506F6"/>
    <w:rsid w:val="0027095C"/>
    <w:rsid w:val="002770F6"/>
    <w:rsid w:val="0028051C"/>
    <w:rsid w:val="002A70D9"/>
    <w:rsid w:val="002B7443"/>
    <w:rsid w:val="002C3480"/>
    <w:rsid w:val="002C4808"/>
    <w:rsid w:val="002C51BC"/>
    <w:rsid w:val="002D7520"/>
    <w:rsid w:val="002E2CA2"/>
    <w:rsid w:val="002E5125"/>
    <w:rsid w:val="002F1145"/>
    <w:rsid w:val="00300733"/>
    <w:rsid w:val="00302C0C"/>
    <w:rsid w:val="003063B3"/>
    <w:rsid w:val="00307C9E"/>
    <w:rsid w:val="00320CB2"/>
    <w:rsid w:val="00321A19"/>
    <w:rsid w:val="0032773B"/>
    <w:rsid w:val="00342A07"/>
    <w:rsid w:val="0035045F"/>
    <w:rsid w:val="003650E0"/>
    <w:rsid w:val="0037667F"/>
    <w:rsid w:val="00382AB6"/>
    <w:rsid w:val="00383712"/>
    <w:rsid w:val="0039025F"/>
    <w:rsid w:val="003C2647"/>
    <w:rsid w:val="003C3CA5"/>
    <w:rsid w:val="003C62D6"/>
    <w:rsid w:val="003D2399"/>
    <w:rsid w:val="003E4A92"/>
    <w:rsid w:val="003F6A45"/>
    <w:rsid w:val="00400277"/>
    <w:rsid w:val="00401023"/>
    <w:rsid w:val="0040289D"/>
    <w:rsid w:val="00411FF8"/>
    <w:rsid w:val="0041238D"/>
    <w:rsid w:val="00424F66"/>
    <w:rsid w:val="00432346"/>
    <w:rsid w:val="004419EC"/>
    <w:rsid w:val="004424A0"/>
    <w:rsid w:val="00447F3A"/>
    <w:rsid w:val="004569B4"/>
    <w:rsid w:val="004759D9"/>
    <w:rsid w:val="00480541"/>
    <w:rsid w:val="0049068A"/>
    <w:rsid w:val="00493D23"/>
    <w:rsid w:val="004A199B"/>
    <w:rsid w:val="004A3FC8"/>
    <w:rsid w:val="004B62D7"/>
    <w:rsid w:val="004E2A27"/>
    <w:rsid w:val="004F0434"/>
    <w:rsid w:val="00503B57"/>
    <w:rsid w:val="005145BB"/>
    <w:rsid w:val="00517BFD"/>
    <w:rsid w:val="0054471F"/>
    <w:rsid w:val="005461F3"/>
    <w:rsid w:val="00547118"/>
    <w:rsid w:val="00547AC9"/>
    <w:rsid w:val="0055351B"/>
    <w:rsid w:val="00556B1A"/>
    <w:rsid w:val="00557071"/>
    <w:rsid w:val="00557A9C"/>
    <w:rsid w:val="00566AB3"/>
    <w:rsid w:val="005806BE"/>
    <w:rsid w:val="00581D57"/>
    <w:rsid w:val="00592740"/>
    <w:rsid w:val="005A7F6F"/>
    <w:rsid w:val="005C2BDD"/>
    <w:rsid w:val="005C2CF8"/>
    <w:rsid w:val="005C47A8"/>
    <w:rsid w:val="005C5D86"/>
    <w:rsid w:val="005E1430"/>
    <w:rsid w:val="005E406E"/>
    <w:rsid w:val="005F0B12"/>
    <w:rsid w:val="005F27BE"/>
    <w:rsid w:val="005F5F51"/>
    <w:rsid w:val="00601C69"/>
    <w:rsid w:val="00616BCC"/>
    <w:rsid w:val="00624261"/>
    <w:rsid w:val="006410E0"/>
    <w:rsid w:val="00645593"/>
    <w:rsid w:val="00646AF9"/>
    <w:rsid w:val="006556E1"/>
    <w:rsid w:val="00656AB8"/>
    <w:rsid w:val="006609B6"/>
    <w:rsid w:val="00667472"/>
    <w:rsid w:val="0068699D"/>
    <w:rsid w:val="006A353C"/>
    <w:rsid w:val="006A56FC"/>
    <w:rsid w:val="006B2D1C"/>
    <w:rsid w:val="006C1E1F"/>
    <w:rsid w:val="006E24AC"/>
    <w:rsid w:val="006E6FB5"/>
    <w:rsid w:val="007050F5"/>
    <w:rsid w:val="0071140F"/>
    <w:rsid w:val="00713042"/>
    <w:rsid w:val="00722C8F"/>
    <w:rsid w:val="00724097"/>
    <w:rsid w:val="00725D56"/>
    <w:rsid w:val="00725DDF"/>
    <w:rsid w:val="00751766"/>
    <w:rsid w:val="0075201B"/>
    <w:rsid w:val="00763DE9"/>
    <w:rsid w:val="0077127E"/>
    <w:rsid w:val="007747D4"/>
    <w:rsid w:val="00780AA4"/>
    <w:rsid w:val="00781234"/>
    <w:rsid w:val="007845D0"/>
    <w:rsid w:val="007A22AE"/>
    <w:rsid w:val="007B0E07"/>
    <w:rsid w:val="007B6E97"/>
    <w:rsid w:val="007B7AF3"/>
    <w:rsid w:val="007B7C91"/>
    <w:rsid w:val="007D77C5"/>
    <w:rsid w:val="007E0769"/>
    <w:rsid w:val="007F61E5"/>
    <w:rsid w:val="00806D66"/>
    <w:rsid w:val="008073EB"/>
    <w:rsid w:val="00807958"/>
    <w:rsid w:val="008132AC"/>
    <w:rsid w:val="0083363B"/>
    <w:rsid w:val="00843027"/>
    <w:rsid w:val="00843821"/>
    <w:rsid w:val="00850F8F"/>
    <w:rsid w:val="00873917"/>
    <w:rsid w:val="00874EBC"/>
    <w:rsid w:val="0087514A"/>
    <w:rsid w:val="00877271"/>
    <w:rsid w:val="00883A9B"/>
    <w:rsid w:val="00890CA9"/>
    <w:rsid w:val="00891E9F"/>
    <w:rsid w:val="008C11B0"/>
    <w:rsid w:val="008C3116"/>
    <w:rsid w:val="008E1824"/>
    <w:rsid w:val="0091650F"/>
    <w:rsid w:val="00916E46"/>
    <w:rsid w:val="009211D3"/>
    <w:rsid w:val="00925C11"/>
    <w:rsid w:val="00933173"/>
    <w:rsid w:val="00934124"/>
    <w:rsid w:val="0093678A"/>
    <w:rsid w:val="00952A27"/>
    <w:rsid w:val="009619B9"/>
    <w:rsid w:val="00977FA5"/>
    <w:rsid w:val="00980463"/>
    <w:rsid w:val="009A1B96"/>
    <w:rsid w:val="009A7CCE"/>
    <w:rsid w:val="009C096A"/>
    <w:rsid w:val="009C41A3"/>
    <w:rsid w:val="009D17B0"/>
    <w:rsid w:val="009D7E97"/>
    <w:rsid w:val="009E52CA"/>
    <w:rsid w:val="009F72E5"/>
    <w:rsid w:val="00A03FFA"/>
    <w:rsid w:val="00A04942"/>
    <w:rsid w:val="00A04B52"/>
    <w:rsid w:val="00A11530"/>
    <w:rsid w:val="00A1469B"/>
    <w:rsid w:val="00A14EF5"/>
    <w:rsid w:val="00A26D0F"/>
    <w:rsid w:val="00A32696"/>
    <w:rsid w:val="00A42D9B"/>
    <w:rsid w:val="00A45072"/>
    <w:rsid w:val="00A45DD5"/>
    <w:rsid w:val="00A50A8B"/>
    <w:rsid w:val="00A51606"/>
    <w:rsid w:val="00A54FDE"/>
    <w:rsid w:val="00A55D1D"/>
    <w:rsid w:val="00A6023E"/>
    <w:rsid w:val="00A62422"/>
    <w:rsid w:val="00A63D7C"/>
    <w:rsid w:val="00A70F26"/>
    <w:rsid w:val="00A71885"/>
    <w:rsid w:val="00A7514C"/>
    <w:rsid w:val="00A76FA8"/>
    <w:rsid w:val="00A8122C"/>
    <w:rsid w:val="00A83312"/>
    <w:rsid w:val="00AA1117"/>
    <w:rsid w:val="00AB37BA"/>
    <w:rsid w:val="00AB49D0"/>
    <w:rsid w:val="00AE41C4"/>
    <w:rsid w:val="00B01FC6"/>
    <w:rsid w:val="00B26A1B"/>
    <w:rsid w:val="00B4087B"/>
    <w:rsid w:val="00B84DA2"/>
    <w:rsid w:val="00BD69D9"/>
    <w:rsid w:val="00C05C55"/>
    <w:rsid w:val="00C076C6"/>
    <w:rsid w:val="00C1247F"/>
    <w:rsid w:val="00C137DA"/>
    <w:rsid w:val="00C20F69"/>
    <w:rsid w:val="00C3113F"/>
    <w:rsid w:val="00C4536F"/>
    <w:rsid w:val="00C46ADA"/>
    <w:rsid w:val="00C630EE"/>
    <w:rsid w:val="00C81F29"/>
    <w:rsid w:val="00C8438D"/>
    <w:rsid w:val="00C84D18"/>
    <w:rsid w:val="00C85025"/>
    <w:rsid w:val="00C918BD"/>
    <w:rsid w:val="00C93034"/>
    <w:rsid w:val="00C94E59"/>
    <w:rsid w:val="00CA409C"/>
    <w:rsid w:val="00CA5A72"/>
    <w:rsid w:val="00CA680A"/>
    <w:rsid w:val="00CB63C4"/>
    <w:rsid w:val="00CD2EE6"/>
    <w:rsid w:val="00CE0951"/>
    <w:rsid w:val="00CE7BE4"/>
    <w:rsid w:val="00CF68A2"/>
    <w:rsid w:val="00CF7299"/>
    <w:rsid w:val="00D16423"/>
    <w:rsid w:val="00D3779E"/>
    <w:rsid w:val="00D414F2"/>
    <w:rsid w:val="00D42BA4"/>
    <w:rsid w:val="00D44735"/>
    <w:rsid w:val="00D4619D"/>
    <w:rsid w:val="00D517A2"/>
    <w:rsid w:val="00D679E5"/>
    <w:rsid w:val="00D74391"/>
    <w:rsid w:val="00D75077"/>
    <w:rsid w:val="00D76EC8"/>
    <w:rsid w:val="00D83360"/>
    <w:rsid w:val="00D86DAA"/>
    <w:rsid w:val="00DA7016"/>
    <w:rsid w:val="00DB7B85"/>
    <w:rsid w:val="00DD31B4"/>
    <w:rsid w:val="00DE12FB"/>
    <w:rsid w:val="00DF7645"/>
    <w:rsid w:val="00E03323"/>
    <w:rsid w:val="00E047AD"/>
    <w:rsid w:val="00E12287"/>
    <w:rsid w:val="00E127A1"/>
    <w:rsid w:val="00E14AFB"/>
    <w:rsid w:val="00E163DA"/>
    <w:rsid w:val="00E20E6D"/>
    <w:rsid w:val="00E31A0B"/>
    <w:rsid w:val="00E355C2"/>
    <w:rsid w:val="00E53B95"/>
    <w:rsid w:val="00E67A05"/>
    <w:rsid w:val="00E74AB7"/>
    <w:rsid w:val="00E81FE1"/>
    <w:rsid w:val="00E85862"/>
    <w:rsid w:val="00E90203"/>
    <w:rsid w:val="00E93B9C"/>
    <w:rsid w:val="00E93E3A"/>
    <w:rsid w:val="00EA0405"/>
    <w:rsid w:val="00ED35D7"/>
    <w:rsid w:val="00ED61AB"/>
    <w:rsid w:val="00EE4CDB"/>
    <w:rsid w:val="00EF3098"/>
    <w:rsid w:val="00EF4C32"/>
    <w:rsid w:val="00EF69CD"/>
    <w:rsid w:val="00F02126"/>
    <w:rsid w:val="00F07AB3"/>
    <w:rsid w:val="00F262AB"/>
    <w:rsid w:val="00F6680B"/>
    <w:rsid w:val="00F7284D"/>
    <w:rsid w:val="00F73AAE"/>
    <w:rsid w:val="00F767F3"/>
    <w:rsid w:val="00F94A2B"/>
    <w:rsid w:val="00F9511C"/>
    <w:rsid w:val="00FA00C6"/>
    <w:rsid w:val="00FC22DE"/>
    <w:rsid w:val="00FC5F9E"/>
    <w:rsid w:val="00FD5A64"/>
    <w:rsid w:val="00FD5D40"/>
    <w:rsid w:val="00FE10AD"/>
    <w:rsid w:val="00FE52B9"/>
    <w:rsid w:val="00FF1D5B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9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8421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Radhika Malik</cp:lastModifiedBy>
  <cp:revision>6</cp:revision>
  <cp:lastPrinted>2020-05-18T18:55:00Z</cp:lastPrinted>
  <dcterms:created xsi:type="dcterms:W3CDTF">2021-07-01T13:53:00Z</dcterms:created>
  <dcterms:modified xsi:type="dcterms:W3CDTF">2021-07-01T16:13:00Z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